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1F" w:rsidRPr="00ED611F" w:rsidRDefault="00ED611F" w:rsidP="00ED61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Przydatność badań serologicznych przeciwko SARS-CoV-2 z punktu widzenia zdrowia publicznego – Zalecenia Polskiego Stowarzyszenia Naukowego "Zagrożenia Cywilizacyjne i Zdrowie Publiczne"</w:t>
      </w:r>
    </w:p>
    <w:p w:rsidR="00ED611F" w:rsidRPr="00ED611F" w:rsidRDefault="00ED611F" w:rsidP="00ED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Oceń: </w:t>
      </w:r>
    </w:p>
    <w:p w:rsidR="00ED611F" w:rsidRPr="00ED611F" w:rsidRDefault="00ED611F" w:rsidP="00ED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r w:rsidRPr="00ED6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3.57</w:t>
      </w:r>
      <w:r w:rsidRPr="00ED611F">
        <w:rPr>
          <w:rFonts w:ascii="Times New Roman" w:eastAsia="Times New Roman" w:hAnsi="Times New Roman" w:cs="Times New Roman"/>
          <w:sz w:val="24"/>
          <w:szCs w:val="24"/>
          <w:lang w:eastAsia="pl-PL"/>
        </w:rPr>
        <w:t>/5 z </w:t>
      </w:r>
      <w:r w:rsidRPr="00ED6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D611F">
        <w:rPr>
          <w:rFonts w:ascii="Times New Roman" w:eastAsia="Times New Roman" w:hAnsi="Times New Roman" w:cs="Times New Roman"/>
          <w:sz w:val="24"/>
          <w:szCs w:val="24"/>
          <w:lang w:eastAsia="pl-PL"/>
        </w:rPr>
        <w:t> ocen)</w:t>
      </w:r>
    </w:p>
    <w:p w:rsidR="00ED611F" w:rsidRPr="00ED611F" w:rsidRDefault="00ED611F" w:rsidP="00ED611F">
      <w:pPr>
        <w:shd w:val="clear" w:color="auto" w:fill="6666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komentarze" w:history="1">
        <w:r w:rsidRPr="00ED611F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666666"/>
            <w:lang w:eastAsia="pl-PL"/>
          </w:rPr>
          <w:t>zobacz komentarze</w:t>
        </w:r>
      </w:hyperlink>
    </w:p>
    <w:p w:rsidR="00ED611F" w:rsidRPr="00ED611F" w:rsidRDefault="00ED611F" w:rsidP="00ED611F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21.08.2020</w:t>
      </w:r>
    </w:p>
    <w:p w:rsidR="00ED611F" w:rsidRPr="00ED611F" w:rsidRDefault="00ED611F" w:rsidP="00E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Anna Moniuszko-Malinowska</w:t>
      </w:r>
      <w:r w:rsidRPr="00ED61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l-PL"/>
        </w:rPr>
        <w:t>1</w:t>
      </w:r>
      <w:r w:rsidRPr="00ED6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Prof. Maria Gańczak</w:t>
      </w:r>
      <w:r w:rsidRPr="00ED61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l-PL"/>
        </w:rPr>
        <w:t>2</w:t>
      </w:r>
      <w:r w:rsidRPr="00ED6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Dr hab. Jerzy Jaroszewicz</w:t>
      </w:r>
      <w:r w:rsidRPr="00ED61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l-PL"/>
        </w:rPr>
        <w:t>3</w:t>
      </w:r>
      <w:r w:rsidRPr="00ED6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Prof. Sławomir Pancewicz</w:t>
      </w:r>
      <w:r w:rsidRPr="00ED61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l-PL"/>
        </w:rPr>
        <w:t>1</w:t>
      </w:r>
      <w:r w:rsidRPr="00ED6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Prof. Anna Boroń-Kaczmarska</w:t>
      </w:r>
      <w:r w:rsidRPr="00ED61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l-PL"/>
        </w:rPr>
        <w:t>4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1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Klinika Chorób Zakaźnych i Neuroinfekcji, Uniwersytet Medyczny w Białymstoku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ED611F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2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Klinika Chorób Zakaźnych, Collegium </w:t>
      </w:r>
      <w:proofErr w:type="spellStart"/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Medicum</w:t>
      </w:r>
      <w:proofErr w:type="spellEnd"/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Uniwersytetu Zielonogórskiego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ED611F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3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Katedra i Oddział Kliniczny Chorób Zakaźnych i Hepatologii w Bytomiu Śląskiego Uniwersytetu Medycznego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ED611F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4</w:t>
      </w:r>
      <w:r w:rsidRPr="00ED611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Krakowska Akademia im. Andrzeja Frycza-Modrzewskiego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Pandemia COVID-19 jest wielkim wyzwaniem dla zdrowia publicznego. Jednym z przydatnych narzędzi do monitorowania występowania wirusa w populacji są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badania serologiczne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które mają ograniczone zastosowanie podczas procesu diagnostycznego, zaś kluczowe w badaniach populacyjnych. Należy pamiętać, że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podstawową techniką stosowaną w potwierdzaniu zakażenia SARS-CoV-2 są metody molekularne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wykrywające materiał genetyczny wirusa w wydzielinach i wydalinach chorego, zwłaszcza z błon śluzowych gardła i nosa.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1.1. Testy serologiczne w zakażeniu SARS-CoV-2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większość zakażeń wirusowych organizm reaguje w pierwszej kolejności wytwarzaniem swoistych przeciwciał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 następnie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 przypadku zakażenia SARS-CoV-2 przeciwciała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pojawiają się zazwyczaj razem we wczesnej fazie zakażenia –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2-3 tygodnie od zakażenia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 w niektórych przypadkach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wykryć nawet przed IgM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Testy na obecność przeciwciał opierają się na wykrywaniu przeciwciał głównie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(oraz innych), które biorą udział w humoralnej reakcji immunologicznej danej osoby. Dodatni wynik wskazuje, że dana osoba przebyła zakażenie wirusem SARS-CoV-2. Testy serologiczne są przydatne do określenia w jaki sposób zakażenie rozprzestrzenia się w danej populacji. Może to być szczególnie użyteczne, ponieważ uważa się, że 80% zakażeń przebiega bezobjawowo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1,2,3,4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Otwarte pozostaje pytanie czy wykryte przeciwciała zapewniają odporność i ochronę przed ponownymi zakażeniami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5,6,7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Kohmera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wykazali przydatność zautomatyzowanego wykonywania oznaczeń wykrywania przeciwciał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Wówczas testy można stosować na dużą skalę. 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Ponadto wg Autorów testy bazujące na technice chemiluminescencji wykazały wyższą ogólną czułość niż testy oparte o metodę ELISA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8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1.2. Czułość i swoistość testów serologicznych wykrywających SARS-CoV-2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Czułość testu, czyli jego zdolność do prawidłowego wykrywania osób zakażonych, zależy od rodzaju testu i momentu wykonania badania w przebiegu zakażenia (niska czułość po kilku dniach od zakażenia </w:t>
      </w:r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vs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wysoka czułość po kilku tygodniach od zakażenia)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9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Swoistość testu to stosunek wyników prawdziwie ujemnych do sumy prawdziwie ujemnych i fałszywie dodatnich. Zarówno czułość jak i swoistość testu są ważnymi wskaźnikami dokładności testu.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Według niektórych Autorów czułość testów serologicznych wykrywających zakażenie SARS-CoV-2, które lawinowo pojawiają się na rynku wynosi 86,3-100%, a swoistość 97- 99%10. Należy jednak pamiętać, że z uwagi na zmienność genetyczną wirusa, czułość i swoistość mogą wahać się w poszczególnych regionach geograficznych, zatem ocena tych parametrów powinna być odnoszona do populacji, w której ten test ma być stosowany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11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Testy oparte na antygenie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nukleokapsydu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N/glikoproteinie S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Wirus SARS-CoV-2 posiada cztery białka strukturalne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12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ED611F" w:rsidRPr="00ED611F" w:rsidRDefault="00ED611F" w:rsidP="00ED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 (ang.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spike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białko fuzyjne lub glikoproteina powierzchniowa – odpowiedzialne za interakcję z receptorem na powierzchni komórek poprzez połączenie z białkiem ACE2; proteina S posiada dwie odmienne funkcjonalnie domeny – S1 - w pobliżu końca aminowego oraz S2 - w pobliżu końca karboksylowego; część S1 ma zdolność do niezależnego wiązania się z receptorem, zaś część S2 bierze udział w fuzji błony komórkowej i wirusa;13</w:t>
      </w:r>
    </w:p>
    <w:p w:rsidR="00ED611F" w:rsidRPr="00ED611F" w:rsidRDefault="00ED611F" w:rsidP="00ED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E (ang.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envelope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 białko płaszcza – odpowiedzialne m.in. za formowanie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wirionów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ED611F" w:rsidRPr="00ED611F" w:rsidRDefault="00ED611F" w:rsidP="00ED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 (ang.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membrane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białko błonowe lub membranowe – główne białko macierzy wirusa;</w:t>
      </w:r>
    </w:p>
    <w:p w:rsidR="00ED611F" w:rsidRPr="00ED611F" w:rsidRDefault="00ED611F" w:rsidP="00ED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 (ang.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nucleocapsid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 białko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nukleokapsydu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pełniące funkcję ochronną dla dużej cząsteczki RNA oraz uczestniczące w modyfikacji procesów komórkowych i replikacji wirusa.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dostępnej literaturze pojawiają się doniesienia dotyczące przydatności oznaczania występowania przeciwciał przeciwko białkom SARS-CoV-2 u chorych.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Liu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badając metodą ELISA surowice 214 pacjentów wykazali u 68,2% z nich obecność przeciwciał przeciwko białku N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u 70.1%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przeciwko białku S u 77,1%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u 74,3%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wykazując wyższą czułość w przypadku testów z wykorzystaniem białka S. Biorąc pod uwagę liczbę dni od wystąpienia choroby do pobrania surowicy, pacjentów podzielono na siedem grup: od 0 do 5, 6 do 10, 11 do 15, 16 do 20, 21 do 30, 31 do 35 i&gt; 35 dni. Mediana liczby dni od wystąpienia objawów wyniosła 15 dni (zakres od 0 do 55 dni). W przypadku testu ELISA opartego na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rN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zaobserwowano wyraźny wzrost odsetka dodatnich wyników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Odsetki dodatnich wyników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były niskie w okresie od 0 do 5 dni i  od 6 do 10 dni, zaś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 wyższy niż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okresie od 6 do 10 dni i następnie obniża się po 35 dni, ilustrując dynamiczny 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wzorzec ostrej infekcji wirusowej, w której miano przeciwciał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rośnie wraz ze spadkiem miana przeciwciał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Odsetek dodatnich wyników badań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/ lub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wyniósł 88,9% w okresie od 11 do 15 dnia po wystąpieniu objawów i ponad 90% w późniejszych stadiach choroby. Autorzy podkreślają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wzrost częstości wykrywania przeciwciał zarówno w klasie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jak i 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 miarę upływu czasu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szczególnie 35 dni po zakażeniu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14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Schnurra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badali przydatność siedmiu testów, opartych na różnych technikach (EIA, CMIA, MIA, ECLIA) i różnych konstrukcjach, wykrywających przeciwciała w zastosowaniu klinicznym i badaniach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sero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-epidemiologicznych. Skupiono się na ocenie czułości i porównaniu reaktywności z białkami N i S wirusa. Badano surowice 73 pacjentów z dodatnim wynikiem SARS-CoV-2 RNA z łagodnymi i średnimi objawami oraz pacjentów bezobjawowych. Próbki pobrane były po 2-3 tygodniach lub 4 tygodniach po wystąpieniu objawów i potwierdzeniu zakażenia testem PCR. W konkluzji autorzy stwierdzają, że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testy oparte na antygenie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nukleokapsydu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 oraz testy oparte na glikoproteinie S miały podobną czułość i przydatność diagnostyczną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 badań serologicznych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10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Herroelen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(praca przed uzyskaniem recenzji) porównali siedem dostępnych testów serologicznych SARS-CoV-2 opartych na różnych technologiach (ELISA, CLIA i szybkie testy) skierowanych zarówno do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epitopów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N- jak i S-proteinowych, w celu wykrycia różnych kombinacji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izotypów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przeciwciał u pacjentów z potwierdzonym przez PCR zakażeniem SARS-CoV-2, zarówno z krytycznym, jak i łagodnym przebiegiem choroby w różnych punktach czasowych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15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Przeprowadzono analizę porównawczą czułości analitycznej i swoistości. Czułość oceniano w próbkach surowicy od 135 pacjentów z potwierdzonym przez PCR zakażeniem SARS-CoV-2, zarówno pacjentów hospitalizowanych z powodu zapalenia płuc, jak i personelu medycznego. Oprócz porównania z PCR, czułość oceniano porównując każdy pojedynczy test z wynikiem konsensusu przyjętego dla badanych testów. Autorzy zauważają, że w rzeczywistych warunkach klinicznych, testy serologiczne będą wykonywane najczęściej po &gt;20 dniach po wystąpieniu objawów bądź by udokumentować przebytą infekcję u bezobjawowych pacjentów. Dla takich próbek 5 testów wykazało akceptowalną czułość &gt;95%, podczas gdy dla jednego testu wartość czułości była znacząco niższa. Czułość 100% przy oznaczeniu &lt;10 dnia po wystąpieniu objawów (pacjenci hospitalizowani) uzyskano tylko dla 1 testu w odniesieniu do konsensusu przyjętego dla badanych testów. Swoistość przeanalizowano na panelu 57 próbek surowic, potwierdzonych PCR, pobranych przed pandemią od pacjentów zakażonych innymi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koronawirusami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innymi wirusami i z obecnością przeciwciał autoimmunologicznych. Testy 4 producentów osiągnęły w badaniu 100% swoistość. Dwa testy, które osiągnęły najniższą swoistość (91,1% i 92,9%) jako jedyne reagowały krzyżowo z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HCoVs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test na którego wyniki wpływ miały interferencje z czynnikiem reumatoidalnym (RF) osiągnął swoistość 96,4% , a test który interferował z CMV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- 98,2%. Autorzy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lepiej ocenili testy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total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 testy które łączą wykrywanie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dla których uzyskali wyższą swoistość.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Nie zaobserwowano znaczących różnic w tempie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serokonwersji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między ciężkimi i łagodnymi przebiegami infekcji SARS-CoV-2, ani czasem jej trwania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Odnotowano, że przeciwciała przeciwko białku S pojawiają się później niż przeciwciała przeciwko białkom N. Zaobserwowano również szybszą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serokonwersję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przeciwciał N w porównaniu z S1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Zauważono, że przeciwciała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IgA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wyraźnie poprzedzają przeciwciała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poprzedza jednak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Uzyskane wyniki pozwalają sugerować, że szybkość obserwowanej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serokonwersji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zależy bardziej od projektu/konstrukcji testu i stosowanych rekombinowanych antygenów wirusa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15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Sun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badali przydatność oznaczania miana przeciwciał u pacjentów wymagających hospitalizacji w OIOM oraz tych, którzy takiej hospitalizacji nie wymagali. Wykazali, że jednoczasowe oznaczanie przeciwciał przeciwko białkom N i S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może być wykorzystywane w diagnostyce, jako że ich obecność była stwierdzona u 75% chorych już w pierwszym tygodniu. Ciekawą obserwacją jest fakt, iż u pacjentów niewymagających hospitalizacji w OIOM miano przeciwciał przeciwko białku S w klasie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było wyższe niż u chorych hospitalizowanych w OIOM po 3 tygodniach od zachorowania, zaś przeciwko białku N odwrotnie. </w:t>
      </w:r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Miano przeciwciał, zarówno w klasie 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IgM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jak i </w:t>
      </w:r>
      <w:proofErr w:type="spellStart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IgG</w:t>
      </w:r>
      <w:proofErr w:type="spellEnd"/>
      <w:r w:rsidRPr="00ED61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wzrastało wraz z czasem od zakażenia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co może być przydatne w monitorowaniu rozwoju choroby i procesu zdrowienia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16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D61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1.3. Zastosowanie badań serologicznych wykrywających zakażenie SARS-CoV-2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Biorąc pod uwagę wysoką zakaźność wirusa szybkie wykrycie osób bezobjawowych, a zakażonych może wpłynąć na ograniczenie szerzenia się infekcji, co ma ogromne znaczenie w kontekście zdrowia publicznego. Oszacowanie prawdziwego odsetka zakażeń SARS-CoV-2 w populacji pozwala epidemiologom lepiej modelować przebieg epidemii, pomaga też decydentom w lepszym planowaniu interwencji mających na celu kontrolę epidemii. Nadal nie wiadomo czy obecność przeciwciał przeciwko SARS-CoV-2 zapewni odporność zbiorowiskową, ale wiedza o ich występowaniu pozwoli na podejmowanie ważnych decyzji organizacyjnych w różnych miejscach pracy, zwłaszcza w placówkach ochrony zdrowia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17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Dobrym przykładem zastosowania badań serologicznych w populacjach są badania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Stringhini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prowadzone w Genewie18. Autorzy włączyli do badania 2766 mieszkańców. W pierwszym tygodniu obserwowali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seroprewalencję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poziomie 4,8% (95% CI 2,4–8,0, n=341), w drugim 8,5% (5,9–11,4, n=469), w trzecim do 10,9% (7,9–14,4, n=577), w czwartym do 6,6% (4,3–9,4, n=604) i w piątym tygodniu obserwacji 10,8% (8,2–13,9, n=775). U dzieci w wieku 5-9 lat oraz osób &gt;65 roku życia przeciwciała występowały zdecydowanie rzadziej (odpowiednio 0,32%; 0,11-0,63% i 0,50%; 0,28–0,78%) niż grupie wiekowej 20-49 lat. Przeliczenie wskaźnika zakażeń pozwoliło na oszacowanie skali zakażeń na poziomie 11,6 razy wyższym niż podają oficjalne statystyki wynikające z badań molekularnych pacjentów symptomatycznych. Podobne wyniki badań populacyjnych otrzymali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Silveira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., którzy badając populację brazylijską obserwowali wzrost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seroprewalencji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czasie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19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611F" w:rsidRPr="00ED611F" w:rsidRDefault="00ED611F" w:rsidP="00ED6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zaznaczyć, że częstość występowania zakażeń SARS-CoV-2 jest różna, w zależności od badanej społeczności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8,20,21,22,23,24,25,26,27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 środowiskach o niskiej </w:t>
      </w:r>
      <w:proofErr w:type="spellStart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prewalencji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nawet niewielkie obniżenie swoistości testu diagnostycznego może prowadzić do znacznego obniżenia dodatniej wartości predykcyjnej testu (ang. </w:t>
      </w:r>
      <w:proofErr w:type="spellStart"/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positive</w:t>
      </w:r>
      <w:proofErr w:type="spellEnd"/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predictive</w:t>
      </w:r>
      <w:proofErr w:type="spellEnd"/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ED61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value</w:t>
      </w:r>
      <w:proofErr w:type="spellEnd"/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PPV), czyli prawdopodobieństwa, że wynik dodatni jest prawidłowy. Dlatego wysoka swoistość testu jest kluczowa</w:t>
      </w:r>
      <w:r w:rsidRPr="00ED611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9</w:t>
      </w:r>
      <w:r w:rsidRPr="00ED6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13DDD" w:rsidRDefault="00813DDD" w:rsidP="00813DDD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Odpowiednie jednostki decyzyjne na szczeblu krajowym i regionalnym powinny zalecać okresowe przeprowadzanie badań serologicznych w celu poznania rzeczywistej skali występowania zakażeń SARS-CoV-2 w ogólnej populacji i/lub w określonych grupach społecznych. Przykładowo, w warunkach polskich badania takie należy zalecać wśród personelu medycznego, pensjonariuszy zakładów opiekuńczo-leczniczych i domów pomocy społecznej, czy też osób zatrudnionych w zakładach pracy, których specyfika sprzyja transmisji zakażeń, jak kopalnie, </w:t>
      </w:r>
      <w:r>
        <w:rPr>
          <w:rFonts w:ascii="Verdana" w:hAnsi="Verdana"/>
          <w:color w:val="333333"/>
          <w:sz w:val="21"/>
          <w:szCs w:val="21"/>
        </w:rPr>
        <w:lastRenderedPageBreak/>
        <w:t>zakłady przetwórstwa mięsnego, rybnego itp. Wiedza płynąca z oceny obecności przeciwciał pozwoli na podjęcie szybkich decyzji prewencyjnych i interwencję w łańcuchu zakażeń.</w:t>
      </w:r>
    </w:p>
    <w:p w:rsidR="00813DDD" w:rsidRDefault="00813DDD" w:rsidP="00813DDD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Innym przykładem praktycznego zastosowania badań serologicznych wykrywających przeciwciała przeciwko SARS-CoV-2 jest ich przydatność do typowania potencjalnych dawców osocza ozdrowieńców stosowanego w terapii oraz do badań nad opracowaniem leków i szczepionki</w:t>
      </w:r>
      <w:r>
        <w:rPr>
          <w:rFonts w:ascii="Verdana" w:hAnsi="Verdana"/>
          <w:color w:val="333333"/>
          <w:sz w:val="16"/>
          <w:szCs w:val="16"/>
          <w:vertAlign w:val="superscript"/>
        </w:rPr>
        <w:t>28</w:t>
      </w:r>
      <w:r>
        <w:rPr>
          <w:rFonts w:ascii="Verdana" w:hAnsi="Verdana"/>
          <w:color w:val="333333"/>
          <w:sz w:val="21"/>
          <w:szCs w:val="21"/>
        </w:rPr>
        <w:t>.</w:t>
      </w:r>
    </w:p>
    <w:p w:rsidR="00813DDD" w:rsidRDefault="00813DDD" w:rsidP="00813DDD">
      <w:pPr>
        <w:pStyle w:val="Nagwek2"/>
        <w:shd w:val="clear" w:color="auto" w:fill="FFFFFF"/>
        <w:rPr>
          <w:color w:val="000000"/>
        </w:rPr>
      </w:pPr>
      <w:r>
        <w:rPr>
          <w:color w:val="000000"/>
        </w:rPr>
        <w:t>Zalecenia</w:t>
      </w:r>
    </w:p>
    <w:p w:rsidR="00813DDD" w:rsidRDefault="00813DDD" w:rsidP="00813DDD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• Podstawową techniką stosowaną w potwierdzaniu zakażenia SARS-CoV-2 są metody molekularne, wykrywające materiał genetyczny wirusa w wydzielinach i wydalinach chorego, zwłaszcza z błon śluzowych gardła i nosa.</w:t>
      </w:r>
      <w:r>
        <w:rPr>
          <w:rFonts w:ascii="Verdana" w:hAnsi="Verdana"/>
          <w:color w:val="333333"/>
          <w:sz w:val="21"/>
          <w:szCs w:val="21"/>
        </w:rPr>
        <w:br/>
        <w:t>• Zakrojone na szeroką skalę przekrojowe badania serologiczne są dobrym narzędziem, które powinno być stosowane przez osoby zarządzające opieką zdrowotną w zwalczaniu transmisji zakażeń SARS-CoV-2.</w:t>
      </w:r>
      <w:r>
        <w:rPr>
          <w:rFonts w:ascii="Verdana" w:hAnsi="Verdana"/>
          <w:color w:val="333333"/>
          <w:sz w:val="21"/>
          <w:szCs w:val="21"/>
        </w:rPr>
        <w:br/>
        <w:t>• Ze względu na szerokie rozpowszechnienie nowych, opartych o różne metody testów diagnostycznych i ograniczone doświadczenie z tymi testami, kluczowe znaczenie dla laboratoriów ma walidacja metod przed ich wprowadzeniem do rutynowego stosowania, aby upewnić się, że testy są zgodne z oczekiwaniami analitycznymi i klinicznymi.</w:t>
      </w:r>
      <w:r>
        <w:rPr>
          <w:rFonts w:ascii="Verdana" w:hAnsi="Verdana"/>
          <w:color w:val="333333"/>
          <w:sz w:val="21"/>
          <w:szCs w:val="21"/>
        </w:rPr>
        <w:br/>
        <w:t>• Odpowiednie jednostki decyzyjne powinny zalecać okresowe przeprowadzanie serologicznych badań epidemiologicznych w celu poznania rzeczywistej skali występowania zakażeń SARS-CoV-2 w ogólnej populacji i/lub w określonych społecznościach (np. personel medyczny, pensjonariusze zakładów opiekuńczo-leczniczych i domów pomocy społecznej, osoby zatrudnione w zakładach pracy, których specyfika sprzyja transmisji zakażeń, jak kopalnie, zakłady przetwórstwa mięsnego itp.). Wiedza płynąca z obecności przeciwciał pozwoli na podjęcie szybkich decyzji prewencyjnych i interwencję w łańcuchu zakażeń.</w:t>
      </w:r>
      <w:r>
        <w:rPr>
          <w:rFonts w:ascii="Verdana" w:hAnsi="Verdana"/>
          <w:color w:val="333333"/>
          <w:sz w:val="21"/>
          <w:szCs w:val="21"/>
        </w:rPr>
        <w:br/>
        <w:t>• Wykrycie osób, u których stwierdzono obecność przeciwciał przeciwko SARS-CoV-2 pozwoli na znalezienie potencjalnych dawców osocza ozdrowieńców, stosowanego w terapii oraz do badań nad opracowaniem leków i szczepionki.</w:t>
      </w:r>
      <w:r>
        <w:rPr>
          <w:rFonts w:ascii="Verdana" w:hAnsi="Verdana"/>
          <w:color w:val="333333"/>
          <w:sz w:val="21"/>
          <w:szCs w:val="21"/>
        </w:rPr>
        <w:br/>
        <w:t>• Aby zapewnić maksymalną czułość oznaczanie przeciwciał powinno odbywać się nie wcześniej niż po 2-3 tygodniach od potwierdzenia zakażenia metodą PCR lub od wystąpienia objawów.</w:t>
      </w:r>
      <w:r>
        <w:rPr>
          <w:rFonts w:ascii="Verdana" w:hAnsi="Verdana"/>
          <w:color w:val="333333"/>
          <w:sz w:val="21"/>
          <w:szCs w:val="21"/>
        </w:rPr>
        <w:br/>
        <w:t xml:space="preserve">• Wyniki testów serologicznych należy interpretować w kontekście oczekiwanych wartości predykcyjnych – dodatnich (PPV) i ujemnych (NPV), szczególnie na obszarach o niskiej </w:t>
      </w:r>
      <w:proofErr w:type="spellStart"/>
      <w:r>
        <w:rPr>
          <w:rFonts w:ascii="Verdana" w:hAnsi="Verdana"/>
          <w:color w:val="333333"/>
          <w:sz w:val="21"/>
          <w:szCs w:val="21"/>
        </w:rPr>
        <w:t>prewalencji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zakażeń SARS-CoV-2.</w:t>
      </w:r>
      <w:r>
        <w:rPr>
          <w:rFonts w:ascii="Verdana" w:hAnsi="Verdana"/>
          <w:color w:val="333333"/>
          <w:sz w:val="21"/>
          <w:szCs w:val="21"/>
        </w:rPr>
        <w:br/>
        <w:t xml:space="preserve">• Z uwagi na zróżnicowaną jakość obecnych na rynku testów serologicznych przy wyborze należy kierować się jak najwyższą ich czułością i swoistością, a na obszarach o niskiej </w:t>
      </w:r>
      <w:proofErr w:type="spellStart"/>
      <w:r>
        <w:rPr>
          <w:rFonts w:ascii="Verdana" w:hAnsi="Verdana"/>
          <w:color w:val="333333"/>
          <w:sz w:val="21"/>
          <w:szCs w:val="21"/>
        </w:rPr>
        <w:t>prewalencji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dodatkowo należy wziąć pod uwagę wartość PPV, optymalnie opartych na danych pochodzących z tego samego regionu geograficznego.</w:t>
      </w:r>
      <w:r>
        <w:rPr>
          <w:rFonts w:ascii="Verdana" w:hAnsi="Verdana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Verdana" w:hAnsi="Verdana"/>
          <w:color w:val="333333"/>
          <w:sz w:val="21"/>
          <w:szCs w:val="21"/>
        </w:rPr>
        <w:t>Prewalencja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zakażeń SARS-CoV-2 jest różna, w zależności od badanej społeczności. W środowiskach o niskiej </w:t>
      </w:r>
      <w:proofErr w:type="spellStart"/>
      <w:r>
        <w:rPr>
          <w:rFonts w:ascii="Verdana" w:hAnsi="Verdana"/>
          <w:color w:val="333333"/>
          <w:sz w:val="21"/>
          <w:szCs w:val="21"/>
        </w:rPr>
        <w:t>prewalencji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nawet niewielkie obniżenie swoistości testu diagnostycznego może prowadzić do znacznego obniżenia dodatniej wartości predykcyjnej (PPV) testu (tj. prawdopodobieństwa, że wynik dodatni jest prawidłowy). Dlatego wysoka swoistość testu jest kluczowa.</w:t>
      </w:r>
      <w:r>
        <w:rPr>
          <w:rFonts w:ascii="Verdana" w:hAnsi="Verdana"/>
          <w:color w:val="333333"/>
          <w:sz w:val="21"/>
          <w:szCs w:val="21"/>
        </w:rPr>
        <w:br/>
        <w:t xml:space="preserve">• Testy powinny charakteryzować się możliwie jak najniższą reaktywnością krzyżową z powszechnymi czynnikami interferującymi: przeciwciałami do endemicznych ludzkich </w:t>
      </w:r>
      <w:proofErr w:type="spellStart"/>
      <w:r>
        <w:rPr>
          <w:rFonts w:ascii="Verdana" w:hAnsi="Verdana"/>
          <w:color w:val="333333"/>
          <w:sz w:val="21"/>
          <w:szCs w:val="21"/>
        </w:rPr>
        <w:t>koronawirusów</w:t>
      </w:r>
      <w:proofErr w:type="spellEnd"/>
      <w:r>
        <w:rPr>
          <w:rFonts w:ascii="Verdana" w:hAnsi="Verdana"/>
          <w:color w:val="333333"/>
          <w:sz w:val="21"/>
          <w:szCs w:val="21"/>
        </w:rPr>
        <w:t>, do powszechnych wirusów grypy, z przeciwciałami przeciwko CMV i EBV czy RF.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t xml:space="preserve">• Do badań populacyjnych zaleca się wykorzystanie testów wykrywających łącznie przeciwciała w klasie </w:t>
      </w:r>
      <w:proofErr w:type="spellStart"/>
      <w:r>
        <w:rPr>
          <w:rFonts w:ascii="Verdana" w:hAnsi="Verdana"/>
          <w:color w:val="333333"/>
          <w:sz w:val="21"/>
          <w:szCs w:val="21"/>
        </w:rPr>
        <w:t>IgG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i </w:t>
      </w:r>
      <w:proofErr w:type="spellStart"/>
      <w:r>
        <w:rPr>
          <w:rFonts w:ascii="Verdana" w:hAnsi="Verdana"/>
          <w:color w:val="333333"/>
          <w:sz w:val="21"/>
          <w:szCs w:val="21"/>
        </w:rPr>
        <w:t>IgM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lub selektywnie przeciwciała w klasie </w:t>
      </w:r>
      <w:proofErr w:type="spellStart"/>
      <w:r>
        <w:rPr>
          <w:rFonts w:ascii="Verdana" w:hAnsi="Verdana"/>
          <w:color w:val="333333"/>
          <w:sz w:val="21"/>
          <w:szCs w:val="21"/>
        </w:rPr>
        <w:t>IgG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 xml:space="preserve">• Nie zaleca się oznaczania przeciwciał wyłącznie w klasie </w:t>
      </w:r>
      <w:proofErr w:type="spellStart"/>
      <w:r>
        <w:rPr>
          <w:rFonts w:ascii="Verdana" w:hAnsi="Verdana"/>
          <w:color w:val="333333"/>
          <w:sz w:val="21"/>
          <w:szCs w:val="21"/>
        </w:rPr>
        <w:t>IgM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 xml:space="preserve">• Nie zaleca się określania przeciwciał w klasie </w:t>
      </w:r>
      <w:proofErr w:type="spellStart"/>
      <w:r>
        <w:rPr>
          <w:rFonts w:ascii="Verdana" w:hAnsi="Verdana"/>
          <w:color w:val="333333"/>
          <w:sz w:val="21"/>
          <w:szCs w:val="21"/>
        </w:rPr>
        <w:t>IgA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i </w:t>
      </w:r>
      <w:proofErr w:type="spellStart"/>
      <w:r>
        <w:rPr>
          <w:rFonts w:ascii="Verdana" w:hAnsi="Verdana"/>
          <w:color w:val="333333"/>
          <w:sz w:val="21"/>
          <w:szCs w:val="21"/>
        </w:rPr>
        <w:t>IgM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do potwierdzanie wczesnej fazy zakażenia.</w:t>
      </w:r>
      <w:r>
        <w:rPr>
          <w:rFonts w:ascii="Verdana" w:hAnsi="Verdana"/>
          <w:color w:val="333333"/>
          <w:sz w:val="21"/>
          <w:szCs w:val="21"/>
        </w:rPr>
        <w:br/>
        <w:t xml:space="preserve">• Testy oparte na antygenie </w:t>
      </w:r>
      <w:proofErr w:type="spellStart"/>
      <w:r>
        <w:rPr>
          <w:rFonts w:ascii="Verdana" w:hAnsi="Verdana"/>
          <w:color w:val="333333"/>
          <w:sz w:val="21"/>
          <w:szCs w:val="21"/>
        </w:rPr>
        <w:t>nukleokapsydu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 oraz testy oparte na glikoproteinie S mają podobną czułość i przydatność diagnostyczną do badań serologicznych.</w:t>
      </w:r>
      <w:r>
        <w:rPr>
          <w:rFonts w:ascii="Verdana" w:hAnsi="Verdana"/>
          <w:color w:val="333333"/>
          <w:sz w:val="21"/>
          <w:szCs w:val="21"/>
        </w:rPr>
        <w:br/>
        <w:t>• </w:t>
      </w:r>
      <w:r>
        <w:rPr>
          <w:rFonts w:ascii="Verdana" w:hAnsi="Verdana"/>
          <w:b/>
          <w:bCs/>
          <w:color w:val="333333"/>
          <w:sz w:val="21"/>
          <w:szCs w:val="21"/>
        </w:rPr>
        <w:t>Testy serologiczne nie powinny być stosowane do określenia statusu odporności, dopóki wiedza na temat trwałości odpowiedzi serologicznej nie zostanie ugruntowana.</w:t>
      </w:r>
      <w:r>
        <w:rPr>
          <w:rFonts w:ascii="Verdana" w:hAnsi="Verdana"/>
          <w:color w:val="333333"/>
          <w:sz w:val="21"/>
          <w:szCs w:val="21"/>
        </w:rPr>
        <w:br/>
        <w:t>• Nie należy zapewniać osób z obecnością przeciwciał o ich odporności przed kolejnym zachorowaniem.</w:t>
      </w:r>
      <w:r>
        <w:rPr>
          <w:rFonts w:ascii="Verdana" w:hAnsi="Verdana"/>
          <w:color w:val="333333"/>
          <w:sz w:val="21"/>
          <w:szCs w:val="21"/>
        </w:rPr>
        <w:br/>
        <w:t>• Badań serologicznych nie należy rekomendować jako jedynych narzędzi diagnostycznych u pacjentów objawowych.</w:t>
      </w:r>
      <w:r>
        <w:rPr>
          <w:rFonts w:ascii="Verdana" w:hAnsi="Verdana"/>
          <w:color w:val="333333"/>
          <w:sz w:val="21"/>
          <w:szCs w:val="21"/>
        </w:rPr>
        <w:br/>
        <w:t>• Testy serologiczne mogą być oferowane jako metoda pomocnicza, poza RT-PCR- (</w:t>
      </w:r>
      <w:proofErr w:type="spellStart"/>
      <w:r>
        <w:rPr>
          <w:rFonts w:ascii="Verdana" w:hAnsi="Verdana"/>
          <w:color w:val="333333"/>
          <w:sz w:val="21"/>
          <w:szCs w:val="21"/>
        </w:rPr>
        <w:t>Reverse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Transcription</w:t>
      </w:r>
      <w:proofErr w:type="spellEnd"/>
      <w:r>
        <w:rPr>
          <w:rFonts w:ascii="Verdana" w:hAnsi="Verdana"/>
          <w:color w:val="333333"/>
          <w:sz w:val="21"/>
          <w:szCs w:val="21"/>
        </w:rPr>
        <w:t>-PCR) w diagnozowaniu pacjentów, którzy zgłaszają się po pomoc medyczną późno - po 9-14 dniach od wystąpienia objawów choroby; zwiększy to czułość procesu diagnostycznego, ponieważ czułość metody PCR spada w czasie, zaś metod serologicznych rośnie.</w:t>
      </w:r>
      <w:r>
        <w:rPr>
          <w:rFonts w:ascii="Verdana" w:hAnsi="Verdana"/>
          <w:color w:val="333333"/>
          <w:sz w:val="21"/>
          <w:szCs w:val="21"/>
        </w:rPr>
        <w:br/>
        <w:t>• Badania serologiczne powinny być oferowane jako metoda pomocnicza w ustaleniu diagnozy u pacjentów z późnymi powikłaniami COVID-19, zwłaszcza u dzieci.</w:t>
      </w:r>
      <w:r>
        <w:rPr>
          <w:rFonts w:ascii="Verdana" w:hAnsi="Verdana"/>
          <w:color w:val="333333"/>
          <w:sz w:val="21"/>
          <w:szCs w:val="21"/>
        </w:rPr>
        <w:br/>
        <w:t>• Nie należy zwalniać z kwarantanny osób z obecnością przeciwciał przy dodatnim wyniku badań metodą PCR.</w:t>
      </w:r>
      <w:r>
        <w:rPr>
          <w:rFonts w:ascii="Verdana" w:hAnsi="Verdana"/>
          <w:color w:val="333333"/>
          <w:sz w:val="21"/>
          <w:szCs w:val="21"/>
        </w:rPr>
        <w:br/>
        <w:t>• Wyniki testów serologicznych nie powinny być wykorzystywane do podejmowania decyzji dotyczących przyjmowania osób do pracy, dzieci do szkół, internatów.</w:t>
      </w:r>
      <w:r>
        <w:rPr>
          <w:rFonts w:ascii="Verdana" w:hAnsi="Verdana"/>
          <w:color w:val="333333"/>
          <w:sz w:val="21"/>
          <w:szCs w:val="21"/>
        </w:rPr>
        <w:br/>
        <w:t>• Nie należy zwalniać osób z obecnością przeciwciał ze stosowania środków ostrożności, zasad zachowania dystansu społecznego.</w:t>
      </w:r>
      <w:r>
        <w:rPr>
          <w:rFonts w:ascii="Verdana" w:hAnsi="Verdana"/>
          <w:color w:val="333333"/>
          <w:sz w:val="21"/>
          <w:szCs w:val="21"/>
        </w:rPr>
        <w:br/>
        <w:t>• Testy powinny być prawnie dopuszczone do stosowania na terenie UE.</w:t>
      </w:r>
      <w:r>
        <w:rPr>
          <w:rFonts w:ascii="Verdana" w:hAnsi="Verdana"/>
          <w:color w:val="333333"/>
          <w:sz w:val="21"/>
          <w:szCs w:val="21"/>
        </w:rPr>
        <w:br/>
        <w:t>• Dodatni wynik testu na obecność przeciwciał nie jest podstawą do zgłaszania zakażenia właściwej dla miejsca zamieszkania Powiatowej Stacji Sanitarno-Epidemiologicznej.</w:t>
      </w:r>
      <w:r>
        <w:rPr>
          <w:rFonts w:ascii="Verdana" w:hAnsi="Verdana"/>
          <w:color w:val="333333"/>
          <w:sz w:val="21"/>
          <w:szCs w:val="21"/>
        </w:rPr>
        <w:br/>
        <w:t>• Aktualnie nie zaleca się stosowania testów antygenowych z uwagi na brak wiarygodnych danych klinicznych</w:t>
      </w:r>
    </w:p>
    <w:p w:rsidR="00813DDD" w:rsidRDefault="00813DDD" w:rsidP="00813DDD">
      <w:pPr>
        <w:pStyle w:val="Nagwek4"/>
        <w:shd w:val="clear" w:color="auto" w:fill="FFFFFF"/>
        <w:spacing w:before="0" w:after="15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Piśmiennictwo:</w:t>
      </w:r>
    </w:p>
    <w:p w:rsidR="00A04757" w:rsidRDefault="008A703A"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Sethuraman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N,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Interpreting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diagnostic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tests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SARS-CoV-2. JAMA. 2020;323:2249–51.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Mizumoto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K,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Estimating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asymptomatic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proportion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disease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2019 (COVID19)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cases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board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Diamond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Princess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cruise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ship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Yokohama, Japan, 2020. Euro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Surveill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2020;25:2000180.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Sutton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D, et al. Universal screening for SARS-CoV-2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women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admitted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delivery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Engl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J Med. 2020;382:2163–4.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Sandri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MT,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serology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health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care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administrative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staff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populations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from 7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hospital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representative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different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exposures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to SARS-CoV-2 in Lombardy,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Italy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medRxiv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 doi: 10.1101/2020.05.24.20111245.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Hsueh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PR,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Chronological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evolution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IgM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neutralisation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after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with SARS-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associated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Microbiol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2004;10:1062-6.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6. Huang AG-C, et al.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systematic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review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mediated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immunity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kinetics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correlates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protection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association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responses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severity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disease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medRxiv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 doi:10.1101/2020.04.14.20065771.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7. Cheng MP,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Diagnostic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testing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severe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acute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respiratory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syndrome-related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2: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narrative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review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Ann Intern Med. 2020;172:726–34.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Kohmera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N,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Westhausa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Rühla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C,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Cieseka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Rabenaua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HF.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Brief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evaluation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six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high-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throughput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assays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J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Virol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2020;129: 104480.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Perkmann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Side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side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comparison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three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fully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automated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assays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with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focus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specificity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medRxiv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 doi.org/10.1101/2020.06.04.20117911.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10. Carolin S,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Reiners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N,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Biemann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R, Kaiser T,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Trawinski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H,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Jassoy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Ch.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Comparison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diagnostic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sensitivity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nucleoprotein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glycoprotein-based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tests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Journal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Virology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2020;129:10454.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11. Stanowisko Konsultantów Krajowych w dziedzinie Mikrobiologii Lekarskiej, Chorób Zakaźnych, Diagnostyki Laboratoryjnej oraz Prezesa Zarządu Głównego Polskiego Towarzystwa Epidemiologów i Lekarzy Chorób Zakaźnych w sprawie oznaczania swoistych przeciwciał i antygenów w diagnostyce zakażenia SARS-CoV-2 z dnia 25 maja 2020, www.pteilchz.org.pl.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12. Wu C i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wsp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Analysis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therapeutic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targets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SARS-CoV-2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discovery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potential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drugs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computational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methods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Acta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Pharmaceutica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Sinica B. 2020;S2211383520302999, doi:10.1016/j.apsb.2020.02.008.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13. Li F.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Structure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function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evolution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spike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proteins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Annu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Virol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2016;3(1):237–261.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Liu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W, et al. Evaluation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Nucleocapsid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Spike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Protein-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Based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Enzyme-Linked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Immunosorbent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Assays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Detecting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against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SARS-CoV-2. J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Microbiol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 58(6): e00461-20.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lastRenderedPageBreak/>
        <w:t xml:space="preserve">15.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Herroelen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PH, Martens GA, De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Smet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D,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Swaerts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K,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Decavele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Kinetics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humoral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immune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response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to SARS-CoV-2,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comparative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analytical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performance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seven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commercial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serology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tests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– artykuł przed recenzją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16. Sun B,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Kinetics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specific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IgM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responses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COVID-19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patients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Emerg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Microbes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2020;9(1):940-948.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Kritsotakis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E. On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importance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population-based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serological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surveys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without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overlooking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their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inherent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uncertainties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Public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Health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Practice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 1:100013.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Stringhini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Seroprevalence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anti-SARS-CoV-2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IgG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Geneva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Switzerland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SEROCoV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-POP):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population-based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study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Lancet 2020; 396:313-319.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Silveira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MF,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Population-based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surveys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against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SARS-CoV-2 in Southern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Brazil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Nat Med. 2020;26:1196–1199.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Ceylan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Z.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Estimation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COVID-19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Italy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Spain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and France.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Sci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Total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Environ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2020;729:138817.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21.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Signorelli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C, et al. COVID-19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Italy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impact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containment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measures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estimates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general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population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Acta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Biomed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2020;91(3-S):175–9.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22.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Spellberg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B,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Community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among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patients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influenzalike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illnesses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presenting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to a Los Angeles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center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March 2020. JAMA 2020;323:1966–7.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23.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Barrett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ES,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previously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undiagnosed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health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care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workers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onset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the U.S. COVID-19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epidemic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medRxiv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2020.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Preprint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2020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Apr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24. doi:10.1101/2020.04.20.20072470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24. Campbell KH,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among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patients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admitted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childbirth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in Southern Connecticut. JAMA. 2020;323:2520–2.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25. Ford JS, et al.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Testing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asymptomatic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emergency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department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patients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coronavirus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2019 (COVID-19) in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low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region.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Acad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Emerg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Med. 2020. doi: 10.1111/acem.14044.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26. Oran DP, Topol EJ.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Prevalence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asymptomatic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: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narrative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review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Ann Intern Med. 2020. doi.org/10.7326/M20-3012.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27.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Favresse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J,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Eucher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Ch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Elsen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M, Marie TH,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Dogné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JM,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Douxfils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J.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Clinical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performance of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Elecsys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electrochemiluminescent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immunoassay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detection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of SARS-CoV-2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total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antibodies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Clin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Chem. 2020;66,8:1104–1106.</w:t>
      </w:r>
      <w:r>
        <w:rPr>
          <w:rFonts w:ascii="Arial" w:hAnsi="Arial" w:cs="Arial"/>
          <w:b/>
          <w:bCs/>
          <w:color w:val="777777"/>
          <w:sz w:val="15"/>
          <w:szCs w:val="15"/>
        </w:rPr>
        <w:br/>
      </w:r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28. Chen L,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Xiong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J,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Bao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L,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Shi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Y.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Convalescent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plasma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as a 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potential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therapy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for COVID-19. Lancet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Infect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Dis</w:t>
      </w:r>
      <w:proofErr w:type="spellEnd"/>
      <w:r>
        <w:rPr>
          <w:rFonts w:ascii="Arial" w:hAnsi="Arial" w:cs="Arial"/>
          <w:b/>
          <w:bCs/>
          <w:color w:val="777777"/>
          <w:sz w:val="15"/>
          <w:szCs w:val="15"/>
          <w:shd w:val="clear" w:color="auto" w:fill="FFFFFF"/>
        </w:rPr>
        <w:t>. 2020;20(4):398-400.</w:t>
      </w:r>
      <w:bookmarkStart w:id="0" w:name="_GoBack"/>
      <w:bookmarkEnd w:id="0"/>
    </w:p>
    <w:sectPr w:rsidR="00A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3689A"/>
    <w:multiLevelType w:val="multilevel"/>
    <w:tmpl w:val="4A2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1F"/>
    <w:rsid w:val="00813DDD"/>
    <w:rsid w:val="008A703A"/>
    <w:rsid w:val="00A04757"/>
    <w:rsid w:val="00E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B649-7828-446A-BAD0-D23DBF9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1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D61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61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DD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.pl/covid19/zalecenia/show.html?id=243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3</cp:revision>
  <dcterms:created xsi:type="dcterms:W3CDTF">2020-09-20T14:37:00Z</dcterms:created>
  <dcterms:modified xsi:type="dcterms:W3CDTF">2020-09-20T14:38:00Z</dcterms:modified>
</cp:coreProperties>
</file>