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1E" w:rsidRPr="0054111E" w:rsidRDefault="0054111E" w:rsidP="0054111E">
      <w:pPr>
        <w:shd w:val="clear" w:color="auto" w:fill="FFFFFF"/>
        <w:spacing w:after="150" w:line="621" w:lineRule="atLeast"/>
        <w:textAlignment w:val="baseline"/>
        <w:outlineLvl w:val="0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4111E">
        <w:rPr>
          <w:rFonts w:ascii="Arial" w:eastAsia="Times New Roman" w:hAnsi="Arial" w:cs="Arial"/>
          <w:b/>
          <w:bCs/>
          <w:color w:val="FFFFFF"/>
          <w:kern w:val="36"/>
          <w:sz w:val="54"/>
          <w:szCs w:val="54"/>
          <w:lang w:eastAsia="pl-PL"/>
        </w:rPr>
        <w:t xml:space="preserve">Rola wziewnych </w:t>
      </w:r>
      <w:proofErr w:type="spellStart"/>
      <w:r w:rsidRPr="0054111E">
        <w:rPr>
          <w:rFonts w:ascii="Arial" w:eastAsia="Times New Roman" w:hAnsi="Arial" w:cs="Arial"/>
          <w:b/>
          <w:bCs/>
          <w:color w:val="FFFFFF"/>
          <w:kern w:val="36"/>
          <w:sz w:val="54"/>
          <w:szCs w:val="54"/>
          <w:lang w:eastAsia="pl-PL"/>
        </w:rPr>
        <w:t>likokortykosteroidów</w:t>
      </w:r>
      <w:proofErr w:type="spellEnd"/>
      <w:r w:rsidRPr="0054111E">
        <w:rPr>
          <w:rFonts w:ascii="Arial" w:eastAsia="Times New Roman" w:hAnsi="Arial" w:cs="Arial"/>
          <w:b/>
          <w:bCs/>
          <w:color w:val="FFFFFF"/>
          <w:kern w:val="36"/>
          <w:sz w:val="54"/>
          <w:szCs w:val="54"/>
          <w:lang w:eastAsia="pl-PL"/>
        </w:rPr>
        <w:t xml:space="preserve"> w przebiegu </w:t>
      </w:r>
    </w:p>
    <w:p w:rsidR="0054111E" w:rsidRPr="0054111E" w:rsidRDefault="0054111E" w:rsidP="00541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54111E">
        <w:rPr>
          <w:rFonts w:ascii="Arial" w:eastAsia="Times New Roman" w:hAnsi="Arial" w:cs="Arial"/>
          <w:noProof/>
          <w:color w:val="000000"/>
          <w:sz w:val="27"/>
          <w:szCs w:val="27"/>
          <w:lang w:eastAsia="pl-PL"/>
        </w:rPr>
        <w:drawing>
          <wp:inline distT="0" distB="0" distL="0" distR="0">
            <wp:extent cx="304800" cy="304800"/>
            <wp:effectExtent l="0" t="0" r="0" b="0"/>
            <wp:docPr id="1" name="Obraz 1" descr="a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11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l-PL"/>
        </w:rPr>
        <w:t>Dział Naukowy Polpharma</w:t>
      </w:r>
    </w:p>
    <w:p w:rsidR="0054111E" w:rsidRPr="0054111E" w:rsidRDefault="0054111E" w:rsidP="0054111E">
      <w:pPr>
        <w:shd w:val="clear" w:color="auto" w:fill="FFFFFF"/>
        <w:spacing w:before="480" w:after="0"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bookmarkStart w:id="0" w:name="_GoBack"/>
      <w:bookmarkEnd w:id="0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Pandemia COVID-19 trwa już ponad rok. Przez ten okres czasu zebraliśmy już sporą ilość danych na temat samego wirusa, czy też czynników ryzyka ciężkiego przebiegu COVID-19. Jednakże wiele kwestii w dalszym ciągu pozostaje niejasnych. Naukowcy wciąż starają się szukać odpowiedzi na pewne zagadnienia związane z prewencją i leczeniem ciężkiego przebiegu infekcji. Jednym z takich zagadnień jest rola wziewnych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glikokortykosteroidów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(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) w przebiegu COVID-19.</w:t>
      </w:r>
    </w:p>
    <w:p w:rsidR="0054111E" w:rsidRPr="0054111E" w:rsidRDefault="0054111E" w:rsidP="0054111E">
      <w:pPr>
        <w:shd w:val="clear" w:color="auto" w:fill="FFFFFF"/>
        <w:spacing w:before="480" w:after="0"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Na początku pandemii, do szczególnych grup ryzyka ciężkiego przebiegu COVID-19 kwalifikowano wszystkich pacjentów, którzy mają przewlekłe choroby układu oddechowego, włączając w to astmę i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POChP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. Było to naturalne założenie, ponieważ dotychczasowe doświadczenia kliniczne wskazywały na to, że generalnie infekcje wirusowe układu oddechowego, są najczęstszym czynnikiem ryzyka występowania zaostrzeń zarówno astmy jak i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POChP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.</w:t>
      </w:r>
    </w:p>
    <w:p w:rsidR="0054111E" w:rsidRPr="0054111E" w:rsidRDefault="0054111E" w:rsidP="0054111E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Jednakże wraz z upływem czasu i pojawianiem się kolejnych coraz bardziej szczegółowych danych pochodzących z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kohortowych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badań epidemiologicznych, zaobserwowano nieoczekiwany rezultat. Okazało się, że w grupie ryzyka ciężkiego przebiegu COVID-19 owszem znajdują się pacjenci z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POChP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, natomiast w przypadku astmatyków, dane nie wykazywały takiej samej tendencji</w:t>
      </w:r>
      <w:r w:rsidRPr="0054111E">
        <w:rPr>
          <w:rFonts w:ascii="Arial" w:eastAsia="Times New Roman" w:hAnsi="Arial" w:cs="Arial"/>
          <w:b/>
          <w:bCs/>
          <w:color w:val="4A4B53"/>
          <w:sz w:val="24"/>
          <w:szCs w:val="24"/>
          <w:bdr w:val="none" w:sz="0" w:space="0" w:color="auto" w:frame="1"/>
          <w:lang w:eastAsia="pl-PL"/>
        </w:rPr>
        <w:t>. Obecny stan wiedzy wskazuje na to, że astmatycy z dobrze kontrolowaną astmą nie znajdują się w grupie podwyższonego ryzyka ciężkiego przebiegu choroby COVID-19.</w:t>
      </w:r>
    </w:p>
    <w:p w:rsidR="0054111E" w:rsidRPr="0054111E" w:rsidRDefault="0054111E" w:rsidP="0054111E">
      <w:pPr>
        <w:shd w:val="clear" w:color="auto" w:fill="FFFFFF"/>
        <w:spacing w:before="480" w:after="0"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Jedną z hipotez, którą naukowcy postulują jako wytłumaczenie powyższego zjawiska jest działanie protekcyjne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, które są podstawą przewlekłego leczenia astmy oskrzelowej. Działanie to zostało wykazane w kilku eksperymentalnych badaniach klinicznych i przedklinicznych. Głównym mechanizmem jaki zaobserwowano w tych badaniach jest obniżenie ekspresji kluczowych genów, odpowiedzialnych za produkcję białek receptorowych, pośredniczących w procesie infekowania komórek przez wirusa SARS-CoV-2.</w:t>
      </w:r>
    </w:p>
    <w:p w:rsidR="0054111E" w:rsidRPr="0054111E" w:rsidRDefault="0054111E" w:rsidP="0054111E">
      <w:pPr>
        <w:shd w:val="clear" w:color="auto" w:fill="FFFFFF"/>
        <w:spacing w:before="480" w:after="0"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Jednakże w kwestii działania protekcyjnego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w przebiegu COVID-19, zdania naukowców są podzielone. Były prowadzone badania m. in. w USA, w których wykazano brak związku pomiędzy stosowaniem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a redukcją hospitalizacji z powodu COVID-19. Tak więc temat zdaje się być wciąż otwarty - badacze prowadzą </w:t>
      </w: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lastRenderedPageBreak/>
        <w:t>kolejne prace w tym zakresie by zebrać więcej danych, pozwalających sformułować jednoznaczną konkluzję.</w:t>
      </w:r>
    </w:p>
    <w:p w:rsidR="0054111E" w:rsidRPr="0054111E" w:rsidRDefault="0054111E" w:rsidP="0054111E">
      <w:pPr>
        <w:shd w:val="clear" w:color="auto" w:fill="FFFFFF"/>
        <w:spacing w:after="0"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 ostatnim czasie - 4 marca 2021, </w:t>
      </w:r>
      <w:r w:rsidRPr="0054111E">
        <w:rPr>
          <w:rFonts w:ascii="Arial" w:eastAsia="Times New Roman" w:hAnsi="Arial" w:cs="Arial"/>
          <w:b/>
          <w:bCs/>
          <w:color w:val="4A4B53"/>
          <w:sz w:val="24"/>
          <w:szCs w:val="24"/>
          <w:bdr w:val="none" w:sz="0" w:space="0" w:color="auto" w:frame="1"/>
          <w:lang w:eastAsia="pl-PL"/>
        </w:rPr>
        <w:t xml:space="preserve">na łamach Lancet Respiratory </w:t>
      </w:r>
      <w:proofErr w:type="spellStart"/>
      <w:r w:rsidRPr="0054111E">
        <w:rPr>
          <w:rFonts w:ascii="Arial" w:eastAsia="Times New Roman" w:hAnsi="Arial" w:cs="Arial"/>
          <w:b/>
          <w:bCs/>
          <w:color w:val="4A4B53"/>
          <w:sz w:val="24"/>
          <w:szCs w:val="24"/>
          <w:bdr w:val="none" w:sz="0" w:space="0" w:color="auto" w:frame="1"/>
          <w:lang w:eastAsia="pl-PL"/>
        </w:rPr>
        <w:t>Medicine</w:t>
      </w:r>
      <w:proofErr w:type="spellEnd"/>
      <w:r w:rsidRPr="0054111E">
        <w:rPr>
          <w:rFonts w:ascii="Arial" w:eastAsia="Times New Roman" w:hAnsi="Arial" w:cs="Arial"/>
          <w:b/>
          <w:bCs/>
          <w:color w:val="4A4B53"/>
          <w:sz w:val="24"/>
          <w:szCs w:val="24"/>
          <w:bdr w:val="none" w:sz="0" w:space="0" w:color="auto" w:frame="1"/>
          <w:lang w:eastAsia="pl-PL"/>
        </w:rPr>
        <w:t xml:space="preserve">, opublikowana została brytyjska praca opisująca wieloośrodkowe </w:t>
      </w:r>
      <w:proofErr w:type="spellStart"/>
      <w:r w:rsidRPr="0054111E">
        <w:rPr>
          <w:rFonts w:ascii="Arial" w:eastAsia="Times New Roman" w:hAnsi="Arial" w:cs="Arial"/>
          <w:b/>
          <w:bCs/>
          <w:color w:val="4A4B53"/>
          <w:sz w:val="24"/>
          <w:szCs w:val="24"/>
          <w:bdr w:val="none" w:sz="0" w:space="0" w:color="auto" w:frame="1"/>
          <w:lang w:eastAsia="pl-PL"/>
        </w:rPr>
        <w:t>kohortowe</w:t>
      </w:r>
      <w:proofErr w:type="spellEnd"/>
      <w:r w:rsidRPr="0054111E">
        <w:rPr>
          <w:rFonts w:ascii="Arial" w:eastAsia="Times New Roman" w:hAnsi="Arial" w:cs="Arial"/>
          <w:b/>
          <w:bCs/>
          <w:color w:val="4A4B53"/>
          <w:sz w:val="24"/>
          <w:szCs w:val="24"/>
          <w:bdr w:val="none" w:sz="0" w:space="0" w:color="auto" w:frame="1"/>
          <w:lang w:eastAsia="pl-PL"/>
        </w:rPr>
        <w:t xml:space="preserve"> badanie obserwacyjne, w którym poruszono m. in.</w:t>
      </w: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 </w:t>
      </w:r>
      <w:r w:rsidRPr="0054111E">
        <w:rPr>
          <w:rFonts w:ascii="Arial" w:eastAsia="Times New Roman" w:hAnsi="Arial" w:cs="Arial"/>
          <w:b/>
          <w:bCs/>
          <w:color w:val="4A4B53"/>
          <w:sz w:val="24"/>
          <w:szCs w:val="24"/>
          <w:bdr w:val="none" w:sz="0" w:space="0" w:color="auto" w:frame="1"/>
          <w:lang w:eastAsia="pl-PL"/>
        </w:rPr>
        <w:t xml:space="preserve">zagadnienie związane z protekcyjnym działaniem </w:t>
      </w:r>
      <w:proofErr w:type="spellStart"/>
      <w:r w:rsidRPr="0054111E">
        <w:rPr>
          <w:rFonts w:ascii="Arial" w:eastAsia="Times New Roman" w:hAnsi="Arial" w:cs="Arial"/>
          <w:b/>
          <w:bCs/>
          <w:color w:val="4A4B53"/>
          <w:sz w:val="24"/>
          <w:szCs w:val="24"/>
          <w:bdr w:val="none" w:sz="0" w:space="0" w:color="auto" w:frame="1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b/>
          <w:bCs/>
          <w:color w:val="4A4B53"/>
          <w:sz w:val="24"/>
          <w:szCs w:val="24"/>
          <w:bdr w:val="none" w:sz="0" w:space="0" w:color="auto" w:frame="1"/>
          <w:lang w:eastAsia="pl-PL"/>
        </w:rPr>
        <w:t xml:space="preserve"> u pacjentów z astmą i COVID-19.</w:t>
      </w: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 Do analizy włączono 75 463 pacjentów z diagnozą COVID-19 z 258 ośrodków opieki zdrowotnej Anglii, Szkocji i Walii. Analiza uwzględniała zarówno pacjentów cierpiących wyłącznie na COVID-19 jak i pacjentów, którzy dodatkowo mieli astmę lub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POChP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(lub obie jednostki chorobowe).</w:t>
      </w:r>
    </w:p>
    <w:p w:rsidR="0054111E" w:rsidRPr="0054111E" w:rsidRDefault="0054111E" w:rsidP="0054111E">
      <w:pPr>
        <w:shd w:val="clear" w:color="auto" w:fill="F0F2F3"/>
        <w:spacing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Jedną z najistotniejszych konkluzji jakie płyną z wyników przytoczonego badania jest stwierdzenie iż stosowanie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u astmatyków chorujących na COVID-19, wiązało się z niższą śmiertelnością. Śmiertelność z powodu COVID-19 była niższa względem pacjentów, którzy oprócz COVID-19 nie mieli astmy lub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POChP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i nie przyjmowali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. Obserwacja ta odnosiła się do grupy wiekowej ≥ 50 lat.</w:t>
      </w:r>
    </w:p>
    <w:p w:rsidR="0054111E" w:rsidRPr="0054111E" w:rsidRDefault="0054111E" w:rsidP="0054111E">
      <w:pPr>
        <w:shd w:val="clear" w:color="auto" w:fill="FFFFFF"/>
        <w:spacing w:before="480" w:after="0"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Pacjenci astmatyczni z tej grupy wiekowej, stosujący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przez okres 2 tygodni od momentu przyjęcia do szpitala mieli obniżoną śmiertelność [HR: 0,86; 95% CI: 0,80-0,92]. Autorzy badania zaznaczają, że z kolei pacjenci z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POChP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mieli podwyższone ryzyko śmierci z powodu COVID-19, niezależnie od przyjmowania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[HR: 1,16; 95% CI: 1,12-1,22].</w:t>
      </w:r>
    </w:p>
    <w:p w:rsidR="0054111E" w:rsidRPr="0054111E" w:rsidRDefault="0054111E" w:rsidP="0054111E">
      <w:pPr>
        <w:shd w:val="clear" w:color="auto" w:fill="FFFFFF"/>
        <w:spacing w:before="480" w:after="0"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Jest to kolejny ważny głos płynący z badań naukowych, wskazujący na efekt protekcyjny jaki może nieść ze sobą stosowanie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podczas infekcji wirusem SARS-CoV-2. Jest to spójne ze światowymi standardami leczenia astmy GINA, które wyraźnie zaznaczają, iż kontynuacja standardowej terapii astmy podczas pandemii COVID-19, a zwłaszcza kontynuacja stosowania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w leczeniu przewlekłym astmy, ma kluczowe znaczenie zarówno dla prawidłowej kontroli samej astmy jak i dla zmniejszenia ryzyka wystąpienia ciężkiego przebiegu choroby COVID-19 u pacjentów astmatycznych. Autorzy przytoczonego badania zaznaczają, iż konieczne są dalsze prace w celu lepszego poznania i dokładniejszego zweryfikowania skuteczności </w:t>
      </w:r>
      <w:proofErr w:type="spellStart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wGKS</w:t>
      </w:r>
      <w:proofErr w:type="spellEnd"/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 xml:space="preserve"> we wspomaganiu terapii COVID-19 u różnych grup pacjentów.</w:t>
      </w:r>
    </w:p>
    <w:p w:rsidR="0054111E" w:rsidRPr="0054111E" w:rsidRDefault="0054111E" w:rsidP="0054111E">
      <w:pPr>
        <w:shd w:val="clear" w:color="auto" w:fill="FFFFFF"/>
        <w:spacing w:before="480" w:after="0"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 </w:t>
      </w:r>
    </w:p>
    <w:p w:rsidR="0054111E" w:rsidRPr="0054111E" w:rsidRDefault="0054111E" w:rsidP="0054111E">
      <w:pPr>
        <w:shd w:val="clear" w:color="auto" w:fill="FFFFFF"/>
        <w:spacing w:before="480" w:after="0"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t> </w:t>
      </w:r>
    </w:p>
    <w:p w:rsidR="0054111E" w:rsidRPr="0054111E" w:rsidRDefault="0054111E" w:rsidP="005411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A4B53"/>
          <w:sz w:val="27"/>
          <w:szCs w:val="27"/>
          <w:lang w:eastAsia="pl-PL"/>
        </w:rPr>
      </w:pPr>
      <w:r w:rsidRPr="0054111E">
        <w:rPr>
          <w:rFonts w:ascii="Arial" w:eastAsia="Times New Roman" w:hAnsi="Arial" w:cs="Arial"/>
          <w:color w:val="4A4B53"/>
          <w:sz w:val="27"/>
          <w:szCs w:val="27"/>
          <w:lang w:eastAsia="pl-PL"/>
        </w:rPr>
        <w:pict>
          <v:rect id="_x0000_i1028" style="width:0;height:.75pt" o:hralign="center" o:hrstd="t" o:hr="t" fillcolor="#a0a0a0" stroked="f"/>
        </w:pict>
      </w:r>
    </w:p>
    <w:p w:rsidR="0054111E" w:rsidRPr="0054111E" w:rsidRDefault="0054111E" w:rsidP="0054111E">
      <w:pPr>
        <w:shd w:val="clear" w:color="auto" w:fill="FFFFFF"/>
        <w:spacing w:after="100" w:line="336" w:lineRule="atLeast"/>
        <w:textAlignment w:val="baseline"/>
        <w:rPr>
          <w:rFonts w:ascii="Arial" w:eastAsia="Times New Roman" w:hAnsi="Arial" w:cs="Arial"/>
          <w:color w:val="4A4B53"/>
          <w:sz w:val="24"/>
          <w:szCs w:val="24"/>
          <w:lang w:eastAsia="pl-PL"/>
        </w:rPr>
      </w:pPr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Opracowano na podstawie:</w:t>
      </w:r>
      <w:r w:rsidRPr="0054111E">
        <w:rPr>
          <w:rFonts w:ascii="Arial" w:eastAsia="Times New Roman" w:hAnsi="Arial" w:cs="Arial"/>
          <w:color w:val="4A4B53"/>
          <w:sz w:val="24"/>
          <w:szCs w:val="24"/>
          <w:lang w:eastAsia="pl-PL"/>
        </w:rPr>
        <w:br/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Bloom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CI, Drake TM,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Docherty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AB, et al.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Risk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of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adverse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outcomes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in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patients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with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underlying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respiratory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conditions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admitted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to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hospital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with COVID-19: a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national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,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multicentre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prospective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cohort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study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using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the ISARIC WHO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Clinical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Characterisation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lastRenderedPageBreak/>
        <w:t>Protocol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UK [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published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online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ahead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of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print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, 2021 Mar 4]. Lancet </w:t>
      </w:r>
      <w:proofErr w:type="spellStart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>Respir</w:t>
      </w:r>
      <w:proofErr w:type="spellEnd"/>
      <w:r w:rsidRPr="0054111E">
        <w:rPr>
          <w:rFonts w:ascii="Arial" w:eastAsia="Times New Roman" w:hAnsi="Arial" w:cs="Arial"/>
          <w:color w:val="4A4B53"/>
          <w:sz w:val="16"/>
          <w:szCs w:val="16"/>
          <w:bdr w:val="none" w:sz="0" w:space="0" w:color="auto" w:frame="1"/>
          <w:lang w:eastAsia="pl-PL"/>
        </w:rPr>
        <w:t xml:space="preserve"> Med. 2021;S2213-2600(21)00013-8. doi:10.1016/S2213-2600(21)00013-8; </w:t>
      </w:r>
      <w:hyperlink r:id="rId5" w:history="1">
        <w:r w:rsidRPr="0054111E">
          <w:rPr>
            <w:rFonts w:ascii="Arial" w:eastAsia="Times New Roman" w:hAnsi="Arial" w:cs="Arial"/>
            <w:color w:val="0E3D8A"/>
            <w:sz w:val="16"/>
            <w:szCs w:val="16"/>
            <w:u w:val="single"/>
            <w:bdr w:val="none" w:sz="0" w:space="0" w:color="auto" w:frame="1"/>
            <w:lang w:eastAsia="pl-PL"/>
          </w:rPr>
          <w:t>https://pubmed.ncbi.nlm.nih.gov/33676593/</w:t>
        </w:r>
      </w:hyperlink>
    </w:p>
    <w:p w:rsidR="00293FB5" w:rsidRDefault="00293FB5"/>
    <w:sectPr w:rsidR="0029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1E"/>
    <w:rsid w:val="00293FB5"/>
    <w:rsid w:val="0054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F224-56A5-440B-9AC9-C8261E78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41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411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111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411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111E"/>
    <w:rPr>
      <w:color w:val="0000FF"/>
      <w:u w:val="single"/>
    </w:rPr>
  </w:style>
  <w:style w:type="character" w:customStyle="1" w:styleId="row">
    <w:name w:val="row"/>
    <w:basedOn w:val="Domylnaczcionkaakapitu"/>
    <w:rsid w:val="0054111E"/>
  </w:style>
  <w:style w:type="character" w:customStyle="1" w:styleId="medium">
    <w:name w:val="medium"/>
    <w:basedOn w:val="Domylnaczcionkaakapitu"/>
    <w:rsid w:val="0054111E"/>
  </w:style>
  <w:style w:type="character" w:customStyle="1" w:styleId="tiny">
    <w:name w:val="tiny"/>
    <w:basedOn w:val="Domylnaczcionkaakapitu"/>
    <w:rsid w:val="0054111E"/>
  </w:style>
  <w:style w:type="character" w:styleId="Pogrubienie">
    <w:name w:val="Strong"/>
    <w:basedOn w:val="Domylnaczcionkaakapitu"/>
    <w:uiPriority w:val="22"/>
    <w:qFormat/>
    <w:rsid w:val="0054111E"/>
    <w:rPr>
      <w:b/>
      <w:bCs/>
    </w:rPr>
  </w:style>
  <w:style w:type="character" w:customStyle="1" w:styleId="col-light-gray">
    <w:name w:val="col-light-gray"/>
    <w:basedOn w:val="Domylnaczcionkaakapitu"/>
    <w:rsid w:val="0054111E"/>
  </w:style>
  <w:style w:type="paragraph" w:styleId="NormalnyWeb">
    <w:name w:val="Normal (Web)"/>
    <w:basedOn w:val="Normalny"/>
    <w:uiPriority w:val="99"/>
    <w:semiHidden/>
    <w:unhideWhenUsed/>
    <w:rsid w:val="00541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697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74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DE0E1"/>
                        <w:right w:val="none" w:sz="0" w:space="0" w:color="auto"/>
                      </w:divBdr>
                      <w:divsChild>
                        <w:div w:id="18497551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01193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DE0E1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2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1428">
                          <w:blockQuote w:val="1"/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19" w:color="auto"/>
                            <w:left w:val="single" w:sz="36" w:space="19" w:color="0E3D8A"/>
                            <w:bottom w:val="none" w:sz="0" w:space="19" w:color="auto"/>
                            <w:right w:val="none" w:sz="0" w:space="19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med.ncbi.nlm.nih.gov/3367659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Krauss</dc:creator>
  <cp:keywords/>
  <dc:description/>
  <cp:lastModifiedBy>Hanna Krauss</cp:lastModifiedBy>
  <cp:revision>1</cp:revision>
  <dcterms:created xsi:type="dcterms:W3CDTF">2021-04-12T19:06:00Z</dcterms:created>
  <dcterms:modified xsi:type="dcterms:W3CDTF">2021-04-12T19:07:00Z</dcterms:modified>
</cp:coreProperties>
</file>