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E7" w:rsidRPr="002D70E7" w:rsidRDefault="002D70E7" w:rsidP="002D70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39"/>
          <w:szCs w:val="39"/>
          <w:lang w:eastAsia="pl-PL"/>
        </w:rPr>
        <w:t>Szanowni Państwo</w:t>
      </w:r>
    </w:p>
    <w:p w:rsidR="002D70E7" w:rsidRPr="002D70E7" w:rsidRDefault="002D70E7" w:rsidP="002D70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kierowani potrzebą szerzenia wiedzy medycznej zgodnej z zasadami EBM</w:t>
      </w:r>
    </w:p>
    <w:p w:rsidR="002D70E7" w:rsidRPr="002D70E7" w:rsidRDefault="002D70E7" w:rsidP="002D70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i rzetelnym monitorowaniem aktualnej sytuacji służby zdrowia, </w:t>
      </w:r>
    </w:p>
    <w:p w:rsidR="002D70E7" w:rsidRPr="002D70E7" w:rsidRDefault="002D70E7" w:rsidP="002D70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zwracamy się do Państwa z krótkim omówieniem kontrowersyjnego tematu, </w:t>
      </w:r>
    </w:p>
    <w:p w:rsidR="002D70E7" w:rsidRPr="002D70E7" w:rsidRDefault="002D70E7" w:rsidP="002D70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który w ostatnich dniach rozpoczął dyskusję nie tylko wśród specjalistów, </w:t>
      </w:r>
    </w:p>
    <w:p w:rsidR="002D70E7" w:rsidRPr="002D70E7" w:rsidRDefault="002D70E7" w:rsidP="002D70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ale także wśród wielu pacjentów. </w:t>
      </w:r>
    </w:p>
    <w:p w:rsidR="002D70E7" w:rsidRPr="002D70E7" w:rsidRDefault="002D70E7" w:rsidP="002D70E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23"/>
          <w:szCs w:val="23"/>
          <w:lang w:eastAsia="pl-PL"/>
        </w:rPr>
        <w:t> </w:t>
      </w:r>
    </w:p>
    <w:p w:rsidR="002D70E7" w:rsidRPr="002D70E7" w:rsidRDefault="002D70E7" w:rsidP="002D70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24"/>
          <w:szCs w:val="24"/>
          <w:lang w:eastAsia="pl-PL"/>
        </w:rPr>
        <w:t>Do mediów dotarła informacja o rzekomym wzroście ryzyka zachorowania na COVID-19 i zagrożeniu ciężkim przebiegiem choroby, spowodowanym przyjmowaniem leków obniżających ciśnienie z grupy antagonistów układu renina-angiotensyna-aldosteron.</w:t>
      </w:r>
    </w:p>
    <w:p w:rsidR="002D70E7" w:rsidRPr="002D70E7" w:rsidRDefault="002D70E7" w:rsidP="002D70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15000" cy="3086100"/>
            <wp:effectExtent l="0" t="0" r="0" b="0"/>
            <wp:docPr id="5" name="Obraz 5" descr="covid19 - koronaw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19 - koronawir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2D70E7">
          <w:rPr>
            <w:rFonts w:ascii="Arial" w:eastAsia="Times New Roman" w:hAnsi="Arial" w:cs="Arial"/>
            <w:color w:val="FFFFFF"/>
            <w:sz w:val="18"/>
            <w:szCs w:val="18"/>
            <w:lang w:eastAsia="pl-PL"/>
          </w:rPr>
          <w:t xml:space="preserve">  </w:t>
        </w:r>
      </w:hyperlink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Powyższa wiadomość została opublikowana 11.03.2020 r. w </w:t>
      </w:r>
      <w:r w:rsidRPr="002D70E7">
        <w:rPr>
          <w:rFonts w:ascii="Arial" w:eastAsia="Times New Roman" w:hAnsi="Arial" w:cs="Arial"/>
          <w:i/>
          <w:iCs/>
          <w:color w:val="123353"/>
          <w:sz w:val="24"/>
          <w:szCs w:val="24"/>
          <w:lang w:eastAsia="pl-PL"/>
        </w:rPr>
        <w:t xml:space="preserve">The Lancet 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i/>
          <w:iCs/>
          <w:color w:val="123353"/>
          <w:sz w:val="24"/>
          <w:szCs w:val="24"/>
          <w:lang w:eastAsia="pl-PL"/>
        </w:rPr>
        <w:t xml:space="preserve">Respiratory </w:t>
      </w:r>
      <w:proofErr w:type="spellStart"/>
      <w:r w:rsidRPr="002D70E7">
        <w:rPr>
          <w:rFonts w:ascii="Arial" w:eastAsia="Times New Roman" w:hAnsi="Arial" w:cs="Arial"/>
          <w:i/>
          <w:iCs/>
          <w:color w:val="123353"/>
          <w:sz w:val="24"/>
          <w:szCs w:val="24"/>
          <w:lang w:eastAsia="pl-PL"/>
        </w:rPr>
        <w:t>Medicine</w:t>
      </w:r>
      <w:proofErr w:type="spellEnd"/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. Jest wnioskiem wyciągniętym na podstawie badań nad wirusem SARS-CoV-2 – pokazują one, że </w:t>
      </w:r>
      <w:proofErr w:type="spellStart"/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koronawirus</w:t>
      </w:r>
      <w:proofErr w:type="spellEnd"/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 łączy się z komórkami docelowymi poprzez ACE2 (enzym 2 konwertujący angiotensynę), który ulega ekspresji na komórkach nabłonkowych płuc, jelit, nerek i naczyń krwionośnych. Ekspresja ACE2 jest nasilona u pacjentów przyjmujących leki z grupy antagonistów układu renina-angiotensyna-aldosteron (w tym ACEI oraz </w:t>
      </w:r>
      <w:proofErr w:type="spellStart"/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ARBs</w:t>
      </w:r>
      <w:proofErr w:type="spellEnd"/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)</w:t>
      </w:r>
      <w:r w:rsidRPr="002D70E7">
        <w:rPr>
          <w:rFonts w:ascii="inherit" w:eastAsia="Times New Roman" w:hAnsi="inherit" w:cs="Arial"/>
          <w:color w:val="123353"/>
          <w:sz w:val="24"/>
          <w:szCs w:val="24"/>
          <w:vertAlign w:val="superscript"/>
          <w:lang w:eastAsia="pl-PL"/>
        </w:rPr>
        <w:t>1.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 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Stanowisko największych europejskich i amerykańskich towarzystw kardiologicznych, w tym American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Heart</w:t>
      </w:r>
      <w:proofErr w:type="spellEnd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Association</w:t>
      </w:r>
      <w:proofErr w:type="spellEnd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,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Heart</w:t>
      </w:r>
      <w:proofErr w:type="spellEnd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Failure</w:t>
      </w:r>
      <w:proofErr w:type="spellEnd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Society</w:t>
      </w:r>
      <w:proofErr w:type="spellEnd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 of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America</w:t>
      </w:r>
      <w:proofErr w:type="spellEnd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, American College of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Cardiology</w:t>
      </w:r>
      <w:proofErr w:type="spellEnd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 oraz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European</w:t>
      </w:r>
      <w:proofErr w:type="spellEnd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Society</w:t>
      </w:r>
      <w:proofErr w:type="spellEnd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 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of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Cardiology</w:t>
      </w:r>
      <w:proofErr w:type="spellEnd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, jest w tej sprawie jednoznaczne: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 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30"/>
          <w:szCs w:val="30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30"/>
          <w:szCs w:val="30"/>
          <w:lang w:eastAsia="pl-PL"/>
        </w:rPr>
        <w:t>„U pacjentów obciążonych nadciśnieniem tętniczym, niewydolnością serca lub chorobą niedokrwienną serca, którzy otrzymują z tego powodu przewlekłą terapię lekami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30"/>
          <w:szCs w:val="30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30"/>
          <w:szCs w:val="30"/>
          <w:lang w:eastAsia="pl-PL"/>
        </w:rPr>
        <w:lastRenderedPageBreak/>
        <w:t xml:space="preserve">z grupy inhibitorów </w:t>
      </w:r>
      <w:proofErr w:type="spellStart"/>
      <w:r w:rsidRPr="002D70E7">
        <w:rPr>
          <w:rFonts w:ascii="Arial" w:eastAsia="Times New Roman" w:hAnsi="Arial" w:cs="Arial"/>
          <w:b/>
          <w:bCs/>
          <w:color w:val="037389"/>
          <w:sz w:val="30"/>
          <w:szCs w:val="30"/>
          <w:lang w:eastAsia="pl-PL"/>
        </w:rPr>
        <w:t>konwertazy</w:t>
      </w:r>
      <w:proofErr w:type="spellEnd"/>
      <w:r w:rsidRPr="002D70E7">
        <w:rPr>
          <w:rFonts w:ascii="Arial" w:eastAsia="Times New Roman" w:hAnsi="Arial" w:cs="Arial"/>
          <w:b/>
          <w:bCs/>
          <w:color w:val="037389"/>
          <w:sz w:val="30"/>
          <w:szCs w:val="30"/>
          <w:lang w:eastAsia="pl-PL"/>
        </w:rPr>
        <w:t xml:space="preserve"> angiotensyny (ACEI) lub antagonistów receptora angiotensyny II (</w:t>
      </w:r>
      <w:proofErr w:type="spellStart"/>
      <w:r w:rsidRPr="002D70E7">
        <w:rPr>
          <w:rFonts w:ascii="Arial" w:eastAsia="Times New Roman" w:hAnsi="Arial" w:cs="Arial"/>
          <w:b/>
          <w:bCs/>
          <w:color w:val="037389"/>
          <w:sz w:val="30"/>
          <w:szCs w:val="30"/>
          <w:lang w:eastAsia="pl-PL"/>
        </w:rPr>
        <w:t>sartanów</w:t>
      </w:r>
      <w:proofErr w:type="spellEnd"/>
      <w:r w:rsidRPr="002D70E7">
        <w:rPr>
          <w:rFonts w:ascii="Arial" w:eastAsia="Times New Roman" w:hAnsi="Arial" w:cs="Arial"/>
          <w:b/>
          <w:bCs/>
          <w:color w:val="037389"/>
          <w:sz w:val="30"/>
          <w:szCs w:val="30"/>
          <w:lang w:eastAsia="pl-PL"/>
        </w:rPr>
        <w:t xml:space="preserve">) i którzy mieli kontakt z patogenem wywołującym COVID-19, nie jest wskazane rutynowe przerywanie dotychczasowego leczenia. Wszystkie decyzje o modyfikacji terapii obniżającej ciśnienie tętnicze powinny być podejmowane na podstawie indywidualnego przypadku, po przeanalizowaniu historii medycznej i stanu klinicznego pacjenta. Na obecną chwilę nie są dostępne wiarygodne dane kliniczne potwierdzające tezę wysuniętą w artykule opublikowanym w </w:t>
      </w:r>
      <w:r w:rsidRPr="002D70E7">
        <w:rPr>
          <w:rFonts w:ascii="Arial" w:eastAsia="Times New Roman" w:hAnsi="Arial" w:cs="Arial"/>
          <w:b/>
          <w:bCs/>
          <w:i/>
          <w:iCs/>
          <w:color w:val="037389"/>
          <w:sz w:val="30"/>
          <w:szCs w:val="30"/>
          <w:lang w:eastAsia="pl-PL"/>
        </w:rPr>
        <w:t xml:space="preserve">The Lancet Respiratory </w:t>
      </w:r>
      <w:proofErr w:type="spellStart"/>
      <w:r w:rsidRPr="002D70E7">
        <w:rPr>
          <w:rFonts w:ascii="Arial" w:eastAsia="Times New Roman" w:hAnsi="Arial" w:cs="Arial"/>
          <w:b/>
          <w:bCs/>
          <w:i/>
          <w:iCs/>
          <w:color w:val="037389"/>
          <w:sz w:val="30"/>
          <w:szCs w:val="30"/>
          <w:lang w:eastAsia="pl-PL"/>
        </w:rPr>
        <w:t>Medicine</w:t>
      </w:r>
      <w:proofErr w:type="spellEnd"/>
      <w:r w:rsidRPr="002D70E7">
        <w:rPr>
          <w:rFonts w:ascii="Arial" w:eastAsia="Times New Roman" w:hAnsi="Arial" w:cs="Arial"/>
          <w:b/>
          <w:bCs/>
          <w:color w:val="037389"/>
          <w:position w:val="5"/>
          <w:sz w:val="21"/>
          <w:szCs w:val="21"/>
          <w:lang w:eastAsia="pl-PL"/>
        </w:rPr>
        <w:t>2,3</w:t>
      </w:r>
      <w:r w:rsidRPr="002D70E7">
        <w:rPr>
          <w:rFonts w:ascii="Arial" w:eastAsia="Times New Roman" w:hAnsi="Arial" w:cs="Arial"/>
          <w:b/>
          <w:bCs/>
          <w:color w:val="037389"/>
          <w:sz w:val="30"/>
          <w:szCs w:val="30"/>
          <w:lang w:eastAsia="pl-PL"/>
        </w:rPr>
        <w:t>.”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 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Jak pokazują statystyki, w tym dane WHO, najbardziej narażoną grupą na ciężką postać choroby COVID-19 (i jej powikłania), są pacjenci w wieku podeszłym,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obciążeni licznymi chorobami przewlekłymi</w:t>
      </w:r>
      <w:r w:rsidRPr="002D70E7">
        <w:rPr>
          <w:rFonts w:ascii="Arial" w:eastAsia="Times New Roman" w:hAnsi="Arial" w:cs="Arial"/>
          <w:color w:val="123353"/>
          <w:position w:val="5"/>
          <w:sz w:val="17"/>
          <w:szCs w:val="17"/>
          <w:lang w:eastAsia="pl-PL"/>
        </w:rPr>
        <w:t>4</w:t>
      </w: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. Skuteczna kontrola schorzeń współistniejących, w tym chorób sercowo-naczyniowych (takich jak nadciśnienie tętnicze), pozwoli z jednej strony zmniejszyć ryzyko zakażenia </w:t>
      </w:r>
      <w:proofErr w:type="spellStart"/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koronawirusem</w:t>
      </w:r>
      <w:proofErr w:type="spellEnd"/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 wywołującym COVID-19, a z drugiej obniżyć niebezpieczeństwo ciężkiego przebiegu COVID-19 u pacjentów starszych – już zarażonych. 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70E7" w:rsidRPr="002D70E7" w:rsidRDefault="002D70E7" w:rsidP="002D70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39"/>
          <w:szCs w:val="39"/>
          <w:lang w:eastAsia="pl-PL"/>
        </w:rPr>
        <w:t>Podsumowując stanowisko AHA/HFSA/ACC/ESC</w:t>
      </w:r>
      <w:r w:rsidRPr="002D70E7">
        <w:rPr>
          <w:rFonts w:ascii="Arial" w:eastAsia="Times New Roman" w:hAnsi="Arial" w:cs="Arial"/>
          <w:b/>
          <w:bCs/>
          <w:color w:val="037389"/>
          <w:position w:val="5"/>
          <w:sz w:val="27"/>
          <w:szCs w:val="27"/>
          <w:lang w:eastAsia="pl-PL"/>
        </w:rPr>
        <w:t>2,3</w:t>
      </w:r>
      <w:r w:rsidRPr="002D70E7">
        <w:rPr>
          <w:rFonts w:ascii="Arial" w:eastAsia="Times New Roman" w:hAnsi="Arial" w:cs="Arial"/>
          <w:b/>
          <w:bCs/>
          <w:color w:val="037389"/>
          <w:sz w:val="39"/>
          <w:szCs w:val="39"/>
          <w:lang w:eastAsia="pl-PL"/>
        </w:rPr>
        <w:t>:</w:t>
      </w:r>
    </w:p>
    <w:p w:rsidR="002D70E7" w:rsidRPr="002D70E7" w:rsidRDefault="002D70E7" w:rsidP="002D70E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70E7" w:rsidRPr="002D70E7" w:rsidRDefault="002D70E7" w:rsidP="002D70E7">
      <w:pPr>
        <w:shd w:val="clear" w:color="auto" w:fill="C1E0E6"/>
        <w:spacing w:after="0" w:line="225" w:lineRule="atLeast"/>
        <w:jc w:val="center"/>
        <w:textAlignment w:val="top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2D70E7">
        <w:rPr>
          <w:rFonts w:ascii="Times New Roman" w:eastAsia="Times New Roman" w:hAnsi="Times New Roman" w:cs="Times New Roman"/>
          <w:sz w:val="2"/>
          <w:szCs w:val="2"/>
          <w:lang w:eastAsia="pl-PL"/>
        </w:rPr>
        <w:t xml:space="preserve">  </w:t>
      </w:r>
    </w:p>
    <w:p w:rsidR="002D70E7" w:rsidRPr="002D70E7" w:rsidRDefault="002D70E7" w:rsidP="002D70E7">
      <w:pPr>
        <w:shd w:val="clear" w:color="auto" w:fill="C1E0E6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00150" cy="952500"/>
            <wp:effectExtent l="0" t="0" r="0" b="0"/>
            <wp:docPr id="4" name="Obraz 4" descr="ikonka leka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konka lekar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E7" w:rsidRPr="002D70E7" w:rsidRDefault="002D70E7" w:rsidP="002D70E7">
      <w:pPr>
        <w:shd w:val="clear" w:color="auto" w:fill="C1E0E6"/>
        <w:spacing w:after="0" w:line="225" w:lineRule="atLeast"/>
        <w:jc w:val="center"/>
        <w:textAlignment w:val="top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2D70E7">
        <w:rPr>
          <w:rFonts w:ascii="Times New Roman" w:eastAsia="Times New Roman" w:hAnsi="Times New Roman" w:cs="Times New Roman"/>
          <w:sz w:val="2"/>
          <w:szCs w:val="2"/>
          <w:lang w:eastAsia="pl-PL"/>
        </w:rPr>
        <w:t xml:space="preserve">  </w:t>
      </w:r>
    </w:p>
    <w:p w:rsidR="002D70E7" w:rsidRPr="002D70E7" w:rsidRDefault="002D70E7" w:rsidP="002D70E7">
      <w:pPr>
        <w:shd w:val="clear" w:color="auto" w:fill="C1E0E6"/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27"/>
          <w:szCs w:val="27"/>
          <w:lang w:eastAsia="pl-PL"/>
        </w:rPr>
        <w:t>Pacjenci przyjmujący leki z grupy antagonistów układu RAA nie powinni samodzielnie modyfikować terapii bez konsultacji z lekarzem.</w:t>
      </w:r>
    </w:p>
    <w:p w:rsidR="002D70E7" w:rsidRPr="002D70E7" w:rsidRDefault="002D70E7" w:rsidP="002D70E7">
      <w:pPr>
        <w:shd w:val="clear" w:color="auto" w:fill="C1E0E6"/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70E7" w:rsidRPr="002D70E7" w:rsidRDefault="002D70E7" w:rsidP="002D70E7">
      <w:pPr>
        <w:shd w:val="clear" w:color="auto" w:fill="C1E0E6"/>
        <w:spacing w:after="0" w:line="225" w:lineRule="atLeast"/>
        <w:jc w:val="center"/>
        <w:textAlignment w:val="top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2D70E7">
        <w:rPr>
          <w:rFonts w:ascii="Times New Roman" w:eastAsia="Times New Roman" w:hAnsi="Times New Roman" w:cs="Times New Roman"/>
          <w:sz w:val="2"/>
          <w:szCs w:val="2"/>
          <w:lang w:eastAsia="pl-PL"/>
        </w:rPr>
        <w:t xml:space="preserve">  </w:t>
      </w:r>
    </w:p>
    <w:p w:rsidR="002D70E7" w:rsidRPr="002D70E7" w:rsidRDefault="002D70E7" w:rsidP="002D70E7">
      <w:pPr>
        <w:shd w:val="clear" w:color="auto" w:fill="C1E0E6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00150" cy="952500"/>
            <wp:effectExtent l="0" t="0" r="0" b="0"/>
            <wp:docPr id="3" name="Obraz 3" descr="ikonka koła zębat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konka koła zębat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E7" w:rsidRPr="002D70E7" w:rsidRDefault="002D70E7" w:rsidP="002D70E7">
      <w:pPr>
        <w:shd w:val="clear" w:color="auto" w:fill="C1E0E6"/>
        <w:spacing w:after="0" w:line="225" w:lineRule="atLeast"/>
        <w:jc w:val="center"/>
        <w:textAlignment w:val="top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2D70E7">
        <w:rPr>
          <w:rFonts w:ascii="Times New Roman" w:eastAsia="Times New Roman" w:hAnsi="Times New Roman" w:cs="Times New Roman"/>
          <w:sz w:val="2"/>
          <w:szCs w:val="2"/>
          <w:lang w:eastAsia="pl-PL"/>
        </w:rPr>
        <w:t xml:space="preserve">  </w:t>
      </w:r>
    </w:p>
    <w:p w:rsidR="002D70E7" w:rsidRPr="002D70E7" w:rsidRDefault="002D70E7" w:rsidP="002D70E7">
      <w:pPr>
        <w:shd w:val="clear" w:color="auto" w:fill="C1E0E6"/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27"/>
          <w:szCs w:val="27"/>
          <w:lang w:eastAsia="pl-PL"/>
        </w:rPr>
        <w:t xml:space="preserve">Wymagana jest pełna ocena kliniczna każdego pacjenta zarażonego wirusem SARS-CoV-2, przed podjęciem decyzji </w:t>
      </w:r>
    </w:p>
    <w:p w:rsidR="002D70E7" w:rsidRPr="002D70E7" w:rsidRDefault="002D70E7" w:rsidP="002D70E7">
      <w:pPr>
        <w:shd w:val="clear" w:color="auto" w:fill="C1E0E6"/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27"/>
          <w:szCs w:val="27"/>
          <w:lang w:eastAsia="pl-PL"/>
        </w:rPr>
        <w:t>o modyfikacji dotychczasowego leczenia przewlekłego.</w:t>
      </w:r>
    </w:p>
    <w:p w:rsidR="002D70E7" w:rsidRPr="002D70E7" w:rsidRDefault="002D70E7" w:rsidP="002D70E7">
      <w:pPr>
        <w:shd w:val="clear" w:color="auto" w:fill="C1E0E6"/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70E7" w:rsidRPr="002D70E7" w:rsidRDefault="002D70E7" w:rsidP="002D70E7">
      <w:pPr>
        <w:shd w:val="clear" w:color="auto" w:fill="C1E0E6"/>
        <w:spacing w:after="0" w:line="225" w:lineRule="atLeast"/>
        <w:jc w:val="center"/>
        <w:textAlignment w:val="top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2D70E7">
        <w:rPr>
          <w:rFonts w:ascii="Times New Roman" w:eastAsia="Times New Roman" w:hAnsi="Times New Roman" w:cs="Times New Roman"/>
          <w:sz w:val="2"/>
          <w:szCs w:val="2"/>
          <w:lang w:eastAsia="pl-PL"/>
        </w:rPr>
        <w:t xml:space="preserve">  </w:t>
      </w:r>
    </w:p>
    <w:p w:rsidR="002D70E7" w:rsidRPr="002D70E7" w:rsidRDefault="002D70E7" w:rsidP="002D70E7">
      <w:pPr>
        <w:shd w:val="clear" w:color="auto" w:fill="C1E0E6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00150" cy="952500"/>
            <wp:effectExtent l="0" t="0" r="0" b="0"/>
            <wp:docPr id="2" name="Obraz 2" descr="ikonka lekar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konka lekarz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E7" w:rsidRPr="002D70E7" w:rsidRDefault="002D70E7" w:rsidP="002D70E7">
      <w:pPr>
        <w:shd w:val="clear" w:color="auto" w:fill="C1E0E6"/>
        <w:spacing w:after="0" w:line="225" w:lineRule="atLeast"/>
        <w:jc w:val="center"/>
        <w:textAlignment w:val="top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2D70E7">
        <w:rPr>
          <w:rFonts w:ascii="Times New Roman" w:eastAsia="Times New Roman" w:hAnsi="Times New Roman" w:cs="Times New Roman"/>
          <w:sz w:val="2"/>
          <w:szCs w:val="2"/>
          <w:lang w:eastAsia="pl-PL"/>
        </w:rPr>
        <w:t xml:space="preserve">  </w:t>
      </w:r>
    </w:p>
    <w:p w:rsidR="002D70E7" w:rsidRPr="002D70E7" w:rsidRDefault="002D70E7" w:rsidP="002D70E7">
      <w:pPr>
        <w:shd w:val="clear" w:color="auto" w:fill="C1E0E6"/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27"/>
          <w:szCs w:val="27"/>
          <w:lang w:eastAsia="pl-PL"/>
        </w:rPr>
        <w:t>Decyzja o zmianie dotychczasowego leczenia chorób sercowo-naczyniowych powinna być podjęta na podstawie EBM</w:t>
      </w:r>
    </w:p>
    <w:p w:rsidR="002D70E7" w:rsidRPr="002D70E7" w:rsidRDefault="002D70E7" w:rsidP="002D70E7">
      <w:pPr>
        <w:shd w:val="clear" w:color="auto" w:fill="C1E0E6"/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037389"/>
          <w:sz w:val="27"/>
          <w:szCs w:val="27"/>
          <w:lang w:eastAsia="pl-PL"/>
        </w:rPr>
        <w:t>i skonsultowana z innymi specjalistami.</w:t>
      </w:r>
      <w:r w:rsidRPr="002D70E7">
        <w:rPr>
          <w:rFonts w:ascii="Arial" w:eastAsia="Times New Roman" w:hAnsi="Arial" w:cs="Arial"/>
          <w:b/>
          <w:bCs/>
          <w:color w:val="037389"/>
          <w:sz w:val="18"/>
          <w:szCs w:val="18"/>
          <w:lang w:eastAsia="pl-PL"/>
        </w:rPr>
        <w:t xml:space="preserve"> </w:t>
      </w:r>
    </w:p>
    <w:p w:rsidR="002D70E7" w:rsidRPr="002D70E7" w:rsidRDefault="002D70E7" w:rsidP="002D70E7">
      <w:pPr>
        <w:shd w:val="clear" w:color="auto" w:fill="C1E0E6"/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Wraz z ogłoszeniem powyższego stanowiska, prezydenci wspomnianych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towarzystw naukowych wystosowali także apel do profesjonalistów medycznych na całym świecie.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2D70E7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 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Wzywają oni do priorytetowego kontynuowania badań naukowych, które pomogą w opracowaniu aktualnych standardów dotyczących najwyższej jakości opieki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medycznej nad pacjentami obciążonymi kardiologicznie, którzy mieli kontakt 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z </w:t>
      </w:r>
      <w:proofErr w:type="spellStart"/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koronawirusem</w:t>
      </w:r>
      <w:proofErr w:type="spellEnd"/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 xml:space="preserve"> wywołującym COVID-19</w:t>
      </w:r>
      <w:r w:rsidRPr="002D70E7">
        <w:rPr>
          <w:rFonts w:ascii="Arial" w:eastAsia="Times New Roman" w:hAnsi="Arial" w:cs="Arial"/>
          <w:color w:val="123353"/>
          <w:position w:val="5"/>
          <w:sz w:val="17"/>
          <w:szCs w:val="17"/>
          <w:lang w:eastAsia="pl-PL"/>
        </w:rPr>
        <w:t xml:space="preserve">2. 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2D70E7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 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23353"/>
          <w:sz w:val="24"/>
          <w:szCs w:val="24"/>
          <w:lang w:eastAsia="pl-PL"/>
        </w:rPr>
        <w:t>W dobie gorączki medialnej, zachęcamy Państwa do korzystania z rzetelnych źródeł najnowszych doniesień medycznych i – w przypadku wątpliwości – posiłkowania się oficjalnymi wytycznymi, na bieżąco uaktualnianymi przez środowiska eksperckie towarzystw naukowych.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2D70E7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 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Wspieramy Państwa w tym trudnym czasie i zrobimy co w naszej mocy, żeby dostarczać aktualnych informacji medycznych najwyższej jakości. Dziękujemy za Państwa codzienne poświęcenie.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2D70E7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70E7" w:rsidRPr="002D70E7" w:rsidRDefault="002D70E7" w:rsidP="002D70E7">
      <w:pPr>
        <w:spacing w:after="0" w:line="225" w:lineRule="atLeast"/>
        <w:jc w:val="center"/>
        <w:textAlignment w:val="top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2D70E7">
        <w:rPr>
          <w:rFonts w:ascii="Times New Roman" w:eastAsia="Times New Roman" w:hAnsi="Times New Roman" w:cs="Times New Roman"/>
          <w:sz w:val="2"/>
          <w:szCs w:val="2"/>
          <w:lang w:eastAsia="pl-PL"/>
        </w:rPr>
        <w:t xml:space="preserve">  </w:t>
      </w:r>
    </w:p>
    <w:p w:rsidR="002D70E7" w:rsidRPr="002D70E7" w:rsidRDefault="002D70E7" w:rsidP="002D70E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00150" cy="952500"/>
            <wp:effectExtent l="0" t="0" r="0" b="0"/>
            <wp:docPr id="1" name="Obraz 1" descr="Mariola Deniszczuk - Junior Country Portfolio L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iola Deniszczuk - Junior Country Portfolio Le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E7" w:rsidRPr="002D70E7" w:rsidRDefault="002D70E7" w:rsidP="002D70E7">
      <w:pPr>
        <w:spacing w:after="0" w:line="225" w:lineRule="atLeast"/>
        <w:jc w:val="center"/>
        <w:textAlignment w:val="top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2D70E7">
        <w:rPr>
          <w:rFonts w:ascii="Times New Roman" w:eastAsia="Times New Roman" w:hAnsi="Times New Roman" w:cs="Times New Roman"/>
          <w:sz w:val="2"/>
          <w:szCs w:val="2"/>
          <w:lang w:eastAsia="pl-PL"/>
        </w:rPr>
        <w:t xml:space="preserve">  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 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i/>
          <w:iCs/>
          <w:color w:val="123353"/>
          <w:sz w:val="24"/>
          <w:szCs w:val="24"/>
          <w:lang w:eastAsia="pl-PL"/>
        </w:rPr>
        <w:t xml:space="preserve">Z poważaniem, 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 xml:space="preserve">Marlena </w:t>
      </w:r>
      <w:proofErr w:type="spellStart"/>
      <w:r w:rsidRPr="002D70E7">
        <w:rPr>
          <w:rFonts w:ascii="Arial" w:eastAsia="Times New Roman" w:hAnsi="Arial" w:cs="Arial"/>
          <w:b/>
          <w:bCs/>
          <w:color w:val="123353"/>
          <w:sz w:val="24"/>
          <w:szCs w:val="24"/>
          <w:lang w:eastAsia="pl-PL"/>
        </w:rPr>
        <w:t>Deniszczuk</w:t>
      </w:r>
      <w:proofErr w:type="spellEnd"/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2D70E7">
        <w:rPr>
          <w:rFonts w:ascii="Arial" w:eastAsia="Times New Roman" w:hAnsi="Arial" w:cs="Arial"/>
          <w:color w:val="1D1D1B"/>
          <w:sz w:val="24"/>
          <w:szCs w:val="24"/>
          <w:lang w:eastAsia="pl-PL"/>
        </w:rPr>
        <w:t xml:space="preserve">Junior Country Portfolio </w:t>
      </w:r>
      <w:proofErr w:type="spellStart"/>
      <w:r w:rsidRPr="002D70E7">
        <w:rPr>
          <w:rFonts w:ascii="Arial" w:eastAsia="Times New Roman" w:hAnsi="Arial" w:cs="Arial"/>
          <w:color w:val="1D1D1B"/>
          <w:sz w:val="24"/>
          <w:szCs w:val="24"/>
          <w:lang w:eastAsia="pl-PL"/>
        </w:rPr>
        <w:t>Lead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2D70E7" w:rsidRPr="002D70E7" w:rsidTr="002D70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70E7" w:rsidRPr="002D70E7">
              <w:trPr>
                <w:jc w:val="center"/>
              </w:trPr>
              <w:tc>
                <w:tcPr>
                  <w:tcW w:w="0" w:type="auto"/>
                  <w:hideMark/>
                </w:tcPr>
                <w:p w:rsidR="002D70E7" w:rsidRPr="002D70E7" w:rsidRDefault="002D70E7" w:rsidP="002D7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:rsidR="002D70E7" w:rsidRPr="002D70E7" w:rsidRDefault="002D70E7" w:rsidP="002D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Referencje: 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1. Fang L,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Karakiulakis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G, &amp;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Roth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M,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Are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patients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with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hypertension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and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diabetes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mellitus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at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increased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risk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for COVID-19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infection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? The Lancet Respiratory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Medicine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(2020).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2. “HFSA/ACC/AHA Statement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Addresses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Concerns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Re: Using RAAS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Antagonists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in COVID-19”, z dnia 17.03.2020 r.– 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https://www.acc.org/latest-in-cardiology/articles/2020/03/17/08/59/hfsa-acc-aha-statement-addresses-concerns-re-using-raas-antagonists-in-covid-19 (Ostatnie wejście: 19.03.2020 r.).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3.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Position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Statement of the ESC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Council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on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Hypertension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on ACE-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Inhibitors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and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Angiotensin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Receptor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Blockers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, z dnia 13.03.2020 r.–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https://www.escardio.org/Councils/Council-on-Hypertension-(CHT)/News/position-statement-of-the-esc-council-on-hypertension-on-ace-inhibitors-and-ang (Ostatnie wejście: 19.03.2020 r.).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lastRenderedPageBreak/>
        <w:t xml:space="preserve">4. https://www.who.int/news-room/q-a-detail/q-a-coronaviruses (Ostatnie wejście: 19.03.2020 r.). 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5. https://www.jwatch.org/fw116456/2020/03/17/heart-groups-patients-with-covid-19-should-continue-ace (Ostatnie wejście: 20.03.2020 r.).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 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Najnowsze, rzetelne statystyki dotyczące sytuacji epidemiologicznej, związanej z pandemią COVID-19, znajdziecie Państwo m.in. na poniższych stronach: 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1. Dane CDC: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hyperlink r:id="rId11" w:history="1">
        <w:r w:rsidRPr="002D70E7">
          <w:rPr>
            <w:rFonts w:ascii="Arial" w:eastAsia="Times New Roman" w:hAnsi="Arial" w:cs="Arial"/>
            <w:color w:val="000000"/>
            <w:sz w:val="18"/>
            <w:szCs w:val="18"/>
            <w:lang w:eastAsia="pl-PL"/>
          </w:rPr>
          <w:t>https://www.cdc.gov/coronavirus/2019-ncov/index.html?CDC_AA_refVal=https%3A%2F%2Fwww.cdc.gov%2</w:t>
        </w:r>
      </w:hyperlink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hyperlink r:id="rId12" w:history="1">
        <w:r w:rsidRPr="002D70E7">
          <w:rPr>
            <w:rFonts w:ascii="Arial" w:eastAsia="Times New Roman" w:hAnsi="Arial" w:cs="Arial"/>
            <w:color w:val="000000"/>
            <w:sz w:val="18"/>
            <w:szCs w:val="18"/>
            <w:lang w:eastAsia="pl-PL"/>
          </w:rPr>
          <w:t>Fcoronavirus%2Findex.html</w:t>
        </w:r>
      </w:hyperlink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(Ostatnie wejście: 19.03.2020 r.).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2. Dane WHO: </w:t>
      </w:r>
      <w:hyperlink r:id="rId13" w:history="1">
        <w:r w:rsidRPr="002D70E7">
          <w:rPr>
            <w:rFonts w:ascii="Arial" w:eastAsia="Times New Roman" w:hAnsi="Arial" w:cs="Arial"/>
            <w:color w:val="000000"/>
            <w:sz w:val="18"/>
            <w:szCs w:val="18"/>
            <w:lang w:eastAsia="pl-PL"/>
          </w:rPr>
          <w:t>https://www.who.int/health-topics/coronavirus</w:t>
        </w:r>
      </w:hyperlink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(Ostatnie wejście: 19.03.2020 r.). </w:t>
      </w:r>
    </w:p>
    <w:p w:rsidR="002D70E7" w:rsidRPr="002D70E7" w:rsidRDefault="002D70E7" w:rsidP="002D70E7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3. Dane </w:t>
      </w:r>
      <w:proofErr w:type="spellStart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>Johns</w:t>
      </w:r>
      <w:proofErr w:type="spellEnd"/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Hopkins University:</w:t>
      </w:r>
      <w:hyperlink r:id="rId14" w:history="1">
        <w:r w:rsidRPr="002D70E7">
          <w:rPr>
            <w:rFonts w:ascii="Arial" w:eastAsia="Times New Roman" w:hAnsi="Arial" w:cs="Arial"/>
            <w:color w:val="000000"/>
            <w:sz w:val="18"/>
            <w:szCs w:val="18"/>
            <w:lang w:eastAsia="pl-PL"/>
          </w:rPr>
          <w:t xml:space="preserve"> https://coronavirus.jhu.edu/map.html</w:t>
        </w:r>
      </w:hyperlink>
      <w:r w:rsidRPr="002D70E7">
        <w:rPr>
          <w:rFonts w:ascii="Arial" w:eastAsia="Times New Roman" w:hAnsi="Arial" w:cs="Arial"/>
          <w:color w:val="1E1E1E"/>
          <w:sz w:val="18"/>
          <w:szCs w:val="18"/>
          <w:lang w:eastAsia="pl-PL"/>
        </w:rPr>
        <w:t xml:space="preserve"> (Ostatnie wejście: 19.03.2020 r.). </w:t>
      </w:r>
    </w:p>
    <w:p w:rsidR="00F948C2" w:rsidRDefault="002D70E7">
      <w:bookmarkStart w:id="0" w:name="_GoBack"/>
      <w:bookmarkEnd w:id="0"/>
    </w:p>
    <w:sectPr w:rsidR="00F9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E7"/>
    <w:rsid w:val="002D70E7"/>
    <w:rsid w:val="00322D54"/>
    <w:rsid w:val="009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70E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D70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D70E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70E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D70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D70E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8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0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11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58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0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86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37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17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7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04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8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10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97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8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3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7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20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43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16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0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2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19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1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8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2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1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5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9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0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86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1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0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0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0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7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4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2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97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50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6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50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25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5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75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67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7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8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1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2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2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2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05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04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71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9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89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57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0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38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go5.pfizerpro.com/dc/vEFPSqHMdMgrCBhX--BbLEMzjcx0e6XSKrNt___LrBv19403Tk2UgGDvKT5N6KYa5L2wLUBsO7NugSHS2iazxR3mxOK6xabYS6zvsznAElIq0b8F0vny--xqoEqlQazteIYhLzeNyNvoDD3tmiMg9qOMkxJIAUffGTVcewnXZ4AA49WTRfiaW1c0d56nnGdQ/q1LT0X06Wd0t0I01J0nn00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go5.pfizerpro.com/dc/lMs3uKoq3qSlBCjmM_eduGQ2U44oHQslpRPH_4ypRL4IqcDQQERSPiMXroon4pAzczp1hDBVL1jMS5jmDKfZyvuV_Ns8wjvkcP6lIllj61rURvia1IDB2fn5Bf_7KGGffvKm9eAKt2b3OodKPA4shKKZoH7OPA5r3uz7_SEOL9nsMj1F-eCIlU_muT8RqjSL5-uLo5umyIjKqk7KN54S2mRaJOK2wAwz0XqK9XnXRnWUYMzC_7PnRX1QLrD0SDQUimmfXVJicDVZvEY2VUA_KYt6ttOWx8xMUP4go2IMSMA=/q1LT0X06Wd0t0I01J0nn00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5.pfizerpro.com/dc/75mDsEeaQJB5FLEDg6vFwBN9VmTCXFRiJTaLR24IMWMDF4DNQPffnu-0Lyz-3ooYRwMX2HMmFqpvAo17lwkNhhEg9Ns58aCmvhYMH1kr8KOVVHbd-HuYqp8puJx4yytyjA-tWudIXD5zQfI0SuFCQ3wUN-BR9fSuwDjby8I68rTRqu9uay2sgpr0cK2ED4Il/q1LT0X06Wd0t0I01J0nn00U" TargetMode="External"/><Relationship Id="rId11" Type="http://schemas.openxmlformats.org/officeDocument/2006/relationships/hyperlink" Target="http://go5.pfizerpro.com/dc/lMs3uKoq3qSlBCjmM_eduGQ2U44oHQslpRPH_4ypRL4IqcDQQERSPiMXroon4pAzczp1hDBVL1jMS5jmDKfZyvuV_Ns8wjvkcP6lIllj61rURvia1IDB2fn5Bf_7KGGffvKm9eAKt2b3OodKPA4shKKZoH7OPA5r3uz7_SEOL9nsMj1F-eCIlU_muT8RqjSL5-uLo5umyIjKqk7KN54S2mRaJOK2wAwz0XqK9XnXRnWUYMzC_7PnRX1QLrD0SDQUimmfXVJicDVZvEY2VUA_KYt6ttOWx8xMUP4go2IMSMA=/q1LT0X06Wd0t0I01J0nn00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go5.pfizerpro.com/dc/Df4kI1DnRJEkEzRDdC5GAV-CiZ1OvSyaQIWVwEXaajuq9qYS40uxrh_4cjygatWIuKx4lBvbNXf1-JqWPjzXaYtsH31DAm7FOuZiKUlH2f6J6Ri0sc3d7RqiFRuTOfKkNNttRmzVTx6zp7h8A8X_M-6Q8n53eqeh6i5ilEuVZ3E=/q1LT0X06Wd0t0I01J0nn00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6138</Characters>
  <Application>Microsoft Office Word</Application>
  <DocSecurity>0</DocSecurity>
  <Lines>51</Lines>
  <Paragraphs>14</Paragraphs>
  <ScaleCrop>false</ScaleCrop>
  <Company>Sil-art Rycho444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2020-04-15T21:15:00Z</dcterms:created>
  <dcterms:modified xsi:type="dcterms:W3CDTF">2020-04-15T21:16:00Z</dcterms:modified>
</cp:coreProperties>
</file>