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A7" w:rsidRPr="00D445A7" w:rsidRDefault="00D445A7" w:rsidP="00D445A7">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proofErr w:type="spellStart"/>
      <w:r w:rsidRPr="00D445A7">
        <w:rPr>
          <w:rFonts w:ascii="Times New Roman" w:eastAsia="Times New Roman" w:hAnsi="Times New Roman" w:cs="Times New Roman"/>
          <w:b/>
          <w:bCs/>
          <w:color w:val="000000"/>
          <w:kern w:val="36"/>
          <w:sz w:val="48"/>
          <w:szCs w:val="48"/>
          <w:lang w:eastAsia="pl-PL"/>
        </w:rPr>
        <w:t>Glikokortykosteroidy</w:t>
      </w:r>
      <w:proofErr w:type="spellEnd"/>
      <w:r w:rsidRPr="00D445A7">
        <w:rPr>
          <w:rFonts w:ascii="Times New Roman" w:eastAsia="Times New Roman" w:hAnsi="Times New Roman" w:cs="Times New Roman"/>
          <w:b/>
          <w:bCs/>
          <w:color w:val="000000"/>
          <w:kern w:val="36"/>
          <w:sz w:val="48"/>
          <w:szCs w:val="48"/>
          <w:lang w:eastAsia="pl-PL"/>
        </w:rPr>
        <w:t xml:space="preserve"> w leczeniu COVID-19 – zalecenia WHO</w:t>
      </w:r>
    </w:p>
    <w:p w:rsidR="00D445A7" w:rsidRPr="00D445A7" w:rsidRDefault="00D445A7" w:rsidP="00D445A7">
      <w:pPr>
        <w:shd w:val="clear" w:color="auto" w:fill="FFFFFF"/>
        <w:spacing w:after="0"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b/>
          <w:bCs/>
          <w:color w:val="333333"/>
          <w:sz w:val="18"/>
          <w:szCs w:val="18"/>
          <w:lang w:eastAsia="pl-PL"/>
        </w:rPr>
        <w:t>Oceń: </w:t>
      </w:r>
    </w:p>
    <w:p w:rsidR="00D445A7" w:rsidRPr="00D445A7" w:rsidRDefault="00D445A7" w:rsidP="00D445A7">
      <w:pPr>
        <w:shd w:val="clear" w:color="auto" w:fill="666666"/>
        <w:spacing w:after="0" w:line="240" w:lineRule="auto"/>
        <w:rPr>
          <w:rFonts w:ascii="Verdana" w:eastAsia="Times New Roman" w:hAnsi="Verdana" w:cs="Times New Roman"/>
          <w:color w:val="777777"/>
          <w:sz w:val="18"/>
          <w:szCs w:val="18"/>
          <w:lang w:eastAsia="pl-PL"/>
        </w:rPr>
      </w:pPr>
      <w:hyperlink r:id="rId5" w:anchor="komentarze" w:history="1">
        <w:r w:rsidRPr="00D445A7">
          <w:rPr>
            <w:rFonts w:ascii="Verdana" w:eastAsia="Times New Roman" w:hAnsi="Verdana" w:cs="Times New Roman"/>
            <w:color w:val="FFFFFF"/>
            <w:sz w:val="18"/>
            <w:szCs w:val="18"/>
            <w:u w:val="single"/>
            <w:shd w:val="clear" w:color="auto" w:fill="666666"/>
            <w:lang w:eastAsia="pl-PL"/>
          </w:rPr>
          <w:t>zobacz komentarze</w:t>
        </w:r>
      </w:hyperlink>
      <w:r w:rsidRPr="00D445A7">
        <w:rPr>
          <w:rFonts w:ascii="Verdana" w:eastAsia="Times New Roman" w:hAnsi="Verdana" w:cs="Times New Roman"/>
          <w:color w:val="777777"/>
          <w:sz w:val="18"/>
          <w:szCs w:val="18"/>
          <w:lang w:eastAsia="pl-PL"/>
        </w:rPr>
        <w:t>15.09.2020</w:t>
      </w:r>
    </w:p>
    <w:p w:rsidR="00D445A7" w:rsidRPr="00D445A7" w:rsidRDefault="00D445A7" w:rsidP="00D445A7">
      <w:pPr>
        <w:shd w:val="clear" w:color="auto" w:fill="FFFFFF"/>
        <w:spacing w:after="0" w:line="240" w:lineRule="auto"/>
        <w:rPr>
          <w:rFonts w:ascii="Verdana" w:eastAsia="Times New Roman" w:hAnsi="Verdana" w:cs="Times New Roman"/>
          <w:color w:val="000000"/>
          <w:sz w:val="18"/>
          <w:szCs w:val="18"/>
          <w:lang w:eastAsia="pl-PL"/>
        </w:rPr>
      </w:pPr>
      <w:r w:rsidRPr="00D445A7">
        <w:rPr>
          <w:rFonts w:ascii="Verdana" w:eastAsia="Times New Roman" w:hAnsi="Verdana" w:cs="Times New Roman"/>
          <w:color w:val="000000"/>
          <w:sz w:val="18"/>
          <w:szCs w:val="18"/>
          <w:lang w:eastAsia="pl-PL"/>
        </w:rPr>
        <w:t xml:space="preserve">Opracowała lek. Katarzyna </w:t>
      </w:r>
      <w:proofErr w:type="spellStart"/>
      <w:r w:rsidRPr="00D445A7">
        <w:rPr>
          <w:rFonts w:ascii="Verdana" w:eastAsia="Times New Roman" w:hAnsi="Verdana" w:cs="Times New Roman"/>
          <w:color w:val="000000"/>
          <w:sz w:val="18"/>
          <w:szCs w:val="18"/>
          <w:lang w:eastAsia="pl-PL"/>
        </w:rPr>
        <w:t>Pieruń</w:t>
      </w:r>
      <w:proofErr w:type="spellEnd"/>
    </w:p>
    <w:p w:rsidR="00D445A7" w:rsidRPr="00D445A7" w:rsidRDefault="00D445A7" w:rsidP="00D445A7">
      <w:pPr>
        <w:shd w:val="clear" w:color="auto" w:fill="FFFFFF"/>
        <w:spacing w:after="0" w:line="240" w:lineRule="auto"/>
        <w:rPr>
          <w:rFonts w:ascii="Verdana" w:eastAsia="Times New Roman" w:hAnsi="Verdana" w:cs="Times New Roman"/>
          <w:color w:val="777777"/>
          <w:sz w:val="18"/>
          <w:szCs w:val="18"/>
          <w:lang w:eastAsia="pl-PL"/>
        </w:rPr>
      </w:pPr>
      <w:r w:rsidRPr="00D445A7">
        <w:rPr>
          <w:rFonts w:ascii="Verdana" w:eastAsia="Times New Roman" w:hAnsi="Verdana" w:cs="Times New Roman"/>
          <w:color w:val="777777"/>
          <w:sz w:val="18"/>
          <w:szCs w:val="18"/>
          <w:lang w:eastAsia="pl-PL"/>
        </w:rPr>
        <w:t>Na podstawie: </w:t>
      </w:r>
      <w:hyperlink r:id="rId6" w:history="1">
        <w:r w:rsidRPr="00D445A7">
          <w:rPr>
            <w:rFonts w:ascii="Verdana" w:eastAsia="Times New Roman" w:hAnsi="Verdana" w:cs="Times New Roman"/>
            <w:color w:val="00477F"/>
            <w:sz w:val="18"/>
            <w:szCs w:val="18"/>
            <w:u w:val="single"/>
            <w:lang w:eastAsia="pl-PL"/>
          </w:rPr>
          <w:t>https://www.who.int/publications/i/item/WHO-2019-nCoV-Corticosteroids-2020.1</w:t>
        </w:r>
      </w:hyperlink>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b/>
          <w:bCs/>
          <w:color w:val="333333"/>
          <w:sz w:val="18"/>
          <w:szCs w:val="18"/>
          <w:lang w:eastAsia="pl-PL"/>
        </w:rPr>
        <w:t>Skróty</w:t>
      </w:r>
      <w:r w:rsidRPr="00D445A7">
        <w:rPr>
          <w:rFonts w:ascii="Verdana" w:eastAsia="Times New Roman" w:hAnsi="Verdana" w:cs="Times New Roman"/>
          <w:color w:val="333333"/>
          <w:sz w:val="18"/>
          <w:szCs w:val="18"/>
          <w:lang w:eastAsia="pl-PL"/>
        </w:rPr>
        <w:t xml:space="preserve">: COVID-19 – choroba </w:t>
      </w:r>
      <w:proofErr w:type="spellStart"/>
      <w:r w:rsidRPr="00D445A7">
        <w:rPr>
          <w:rFonts w:ascii="Verdana" w:eastAsia="Times New Roman" w:hAnsi="Verdana" w:cs="Times New Roman"/>
          <w:color w:val="333333"/>
          <w:sz w:val="18"/>
          <w:szCs w:val="18"/>
          <w:lang w:eastAsia="pl-PL"/>
        </w:rPr>
        <w:t>koronawirusowa</w:t>
      </w:r>
      <w:proofErr w:type="spellEnd"/>
      <w:r w:rsidRPr="00D445A7">
        <w:rPr>
          <w:rFonts w:ascii="Verdana" w:eastAsia="Times New Roman" w:hAnsi="Verdana" w:cs="Times New Roman"/>
          <w:color w:val="333333"/>
          <w:sz w:val="18"/>
          <w:szCs w:val="18"/>
          <w:lang w:eastAsia="pl-PL"/>
        </w:rPr>
        <w:t xml:space="preserve"> wywołana przez SARS-CoV-2, GKS – </w:t>
      </w:r>
      <w:proofErr w:type="spellStart"/>
      <w:r w:rsidRPr="00D445A7">
        <w:rPr>
          <w:rFonts w:ascii="Verdana" w:eastAsia="Times New Roman" w:hAnsi="Verdana" w:cs="Times New Roman"/>
          <w:color w:val="333333"/>
          <w:sz w:val="18"/>
          <w:szCs w:val="18"/>
          <w:lang w:eastAsia="pl-PL"/>
        </w:rPr>
        <w:t>glikokortykosteroidy</w:t>
      </w:r>
      <w:proofErr w:type="spellEnd"/>
      <w:r w:rsidRPr="00D445A7">
        <w:rPr>
          <w:rFonts w:ascii="Verdana" w:eastAsia="Times New Roman" w:hAnsi="Verdana" w:cs="Times New Roman"/>
          <w:color w:val="333333"/>
          <w:sz w:val="18"/>
          <w:szCs w:val="18"/>
          <w:lang w:eastAsia="pl-PL"/>
        </w:rPr>
        <w:t>, SARS-CoV-2 – (</w:t>
      </w:r>
      <w:proofErr w:type="spellStart"/>
      <w:r w:rsidRPr="00D445A7">
        <w:rPr>
          <w:rFonts w:ascii="Verdana" w:eastAsia="Times New Roman" w:hAnsi="Verdana" w:cs="Times New Roman"/>
          <w:i/>
          <w:iCs/>
          <w:color w:val="333333"/>
          <w:sz w:val="18"/>
          <w:szCs w:val="18"/>
          <w:lang w:eastAsia="pl-PL"/>
        </w:rPr>
        <w:t>severe</w:t>
      </w:r>
      <w:proofErr w:type="spellEnd"/>
      <w:r w:rsidRPr="00D445A7">
        <w:rPr>
          <w:rFonts w:ascii="Verdana" w:eastAsia="Times New Roman" w:hAnsi="Verdana" w:cs="Times New Roman"/>
          <w:i/>
          <w:iCs/>
          <w:color w:val="333333"/>
          <w:sz w:val="18"/>
          <w:szCs w:val="18"/>
          <w:lang w:eastAsia="pl-PL"/>
        </w:rPr>
        <w:t xml:space="preserve"> </w:t>
      </w:r>
      <w:proofErr w:type="spellStart"/>
      <w:r w:rsidRPr="00D445A7">
        <w:rPr>
          <w:rFonts w:ascii="Verdana" w:eastAsia="Times New Roman" w:hAnsi="Verdana" w:cs="Times New Roman"/>
          <w:i/>
          <w:iCs/>
          <w:color w:val="333333"/>
          <w:sz w:val="18"/>
          <w:szCs w:val="18"/>
          <w:lang w:eastAsia="pl-PL"/>
        </w:rPr>
        <w:t>acute</w:t>
      </w:r>
      <w:proofErr w:type="spellEnd"/>
      <w:r w:rsidRPr="00D445A7">
        <w:rPr>
          <w:rFonts w:ascii="Verdana" w:eastAsia="Times New Roman" w:hAnsi="Verdana" w:cs="Times New Roman"/>
          <w:i/>
          <w:iCs/>
          <w:color w:val="333333"/>
          <w:sz w:val="18"/>
          <w:szCs w:val="18"/>
          <w:lang w:eastAsia="pl-PL"/>
        </w:rPr>
        <w:t xml:space="preserve"> respiratory </w:t>
      </w:r>
      <w:proofErr w:type="spellStart"/>
      <w:r w:rsidRPr="00D445A7">
        <w:rPr>
          <w:rFonts w:ascii="Verdana" w:eastAsia="Times New Roman" w:hAnsi="Verdana" w:cs="Times New Roman"/>
          <w:i/>
          <w:iCs/>
          <w:color w:val="333333"/>
          <w:sz w:val="18"/>
          <w:szCs w:val="18"/>
          <w:lang w:eastAsia="pl-PL"/>
        </w:rPr>
        <w:t>syndrome</w:t>
      </w:r>
      <w:proofErr w:type="spellEnd"/>
      <w:r w:rsidRPr="00D445A7">
        <w:rPr>
          <w:rFonts w:ascii="Verdana" w:eastAsia="Times New Roman" w:hAnsi="Verdana" w:cs="Times New Roman"/>
          <w:i/>
          <w:iCs/>
          <w:color w:val="333333"/>
          <w:sz w:val="18"/>
          <w:szCs w:val="18"/>
          <w:lang w:eastAsia="pl-PL"/>
        </w:rPr>
        <w:t xml:space="preserve"> </w:t>
      </w:r>
      <w:proofErr w:type="spellStart"/>
      <w:r w:rsidRPr="00D445A7">
        <w:rPr>
          <w:rFonts w:ascii="Verdana" w:eastAsia="Times New Roman" w:hAnsi="Verdana" w:cs="Times New Roman"/>
          <w:i/>
          <w:iCs/>
          <w:color w:val="333333"/>
          <w:sz w:val="18"/>
          <w:szCs w:val="18"/>
          <w:lang w:eastAsia="pl-PL"/>
        </w:rPr>
        <w:t>coronavirus</w:t>
      </w:r>
      <w:proofErr w:type="spellEnd"/>
      <w:r w:rsidRPr="00D445A7">
        <w:rPr>
          <w:rFonts w:ascii="Verdana" w:eastAsia="Times New Roman" w:hAnsi="Verdana" w:cs="Times New Roman"/>
          <w:i/>
          <w:iCs/>
          <w:color w:val="333333"/>
          <w:sz w:val="18"/>
          <w:szCs w:val="18"/>
          <w:lang w:eastAsia="pl-PL"/>
        </w:rPr>
        <w:t xml:space="preserve"> 2</w:t>
      </w:r>
      <w:r w:rsidRPr="00D445A7">
        <w:rPr>
          <w:rFonts w:ascii="Verdana" w:eastAsia="Times New Roman" w:hAnsi="Verdana" w:cs="Times New Roman"/>
          <w:color w:val="333333"/>
          <w:sz w:val="18"/>
          <w:szCs w:val="18"/>
          <w:lang w:eastAsia="pl-PL"/>
        </w:rPr>
        <w:t xml:space="preserve">) </w:t>
      </w:r>
      <w:proofErr w:type="spellStart"/>
      <w:r w:rsidRPr="00D445A7">
        <w:rPr>
          <w:rFonts w:ascii="Verdana" w:eastAsia="Times New Roman" w:hAnsi="Verdana" w:cs="Times New Roman"/>
          <w:color w:val="333333"/>
          <w:sz w:val="18"/>
          <w:szCs w:val="18"/>
          <w:lang w:eastAsia="pl-PL"/>
        </w:rPr>
        <w:t>koronawirus</w:t>
      </w:r>
      <w:proofErr w:type="spellEnd"/>
      <w:r w:rsidRPr="00D445A7">
        <w:rPr>
          <w:rFonts w:ascii="Verdana" w:eastAsia="Times New Roman" w:hAnsi="Verdana" w:cs="Times New Roman"/>
          <w:color w:val="333333"/>
          <w:sz w:val="18"/>
          <w:szCs w:val="18"/>
          <w:lang w:eastAsia="pl-PL"/>
        </w:rPr>
        <w:t xml:space="preserve"> zespołu ostrej niewydolności oddechowej 2, WHO – (</w:t>
      </w:r>
      <w:r w:rsidRPr="00D445A7">
        <w:rPr>
          <w:rFonts w:ascii="Verdana" w:eastAsia="Times New Roman" w:hAnsi="Verdana" w:cs="Times New Roman"/>
          <w:i/>
          <w:iCs/>
          <w:color w:val="333333"/>
          <w:sz w:val="18"/>
          <w:szCs w:val="18"/>
          <w:lang w:eastAsia="pl-PL"/>
        </w:rPr>
        <w:t xml:space="preserve">World </w:t>
      </w:r>
      <w:proofErr w:type="spellStart"/>
      <w:r w:rsidRPr="00D445A7">
        <w:rPr>
          <w:rFonts w:ascii="Verdana" w:eastAsia="Times New Roman" w:hAnsi="Verdana" w:cs="Times New Roman"/>
          <w:i/>
          <w:iCs/>
          <w:color w:val="333333"/>
          <w:sz w:val="18"/>
          <w:szCs w:val="18"/>
          <w:lang w:eastAsia="pl-PL"/>
        </w:rPr>
        <w:t>Health</w:t>
      </w:r>
      <w:proofErr w:type="spellEnd"/>
      <w:r w:rsidRPr="00D445A7">
        <w:rPr>
          <w:rFonts w:ascii="Verdana" w:eastAsia="Times New Roman" w:hAnsi="Verdana" w:cs="Times New Roman"/>
          <w:i/>
          <w:iCs/>
          <w:color w:val="333333"/>
          <w:sz w:val="18"/>
          <w:szCs w:val="18"/>
          <w:lang w:eastAsia="pl-PL"/>
        </w:rPr>
        <w:t xml:space="preserve"> Organization</w:t>
      </w:r>
      <w:r w:rsidRPr="00D445A7">
        <w:rPr>
          <w:rFonts w:ascii="Verdana" w:eastAsia="Times New Roman" w:hAnsi="Verdana" w:cs="Times New Roman"/>
          <w:color w:val="333333"/>
          <w:sz w:val="18"/>
          <w:szCs w:val="18"/>
          <w:lang w:eastAsia="pl-PL"/>
        </w:rPr>
        <w:t>) Światowa Organizacja Zdrowia</w:t>
      </w:r>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color w:val="333333"/>
          <w:sz w:val="18"/>
          <w:szCs w:val="18"/>
          <w:lang w:eastAsia="pl-PL"/>
        </w:rPr>
        <w:t>Niespełna pół roku po ogłoszeniu przez WHO stanu pandemii, globalna liczba potwierdzonych przypadków COVID-19 przekroczyła 27 milionów, a liczba związanych z zakażeniem SARS-CoV-2 zgonów zbliżyła się do 900 tysięcy</w:t>
      </w:r>
      <w:r w:rsidRPr="00D445A7">
        <w:rPr>
          <w:rFonts w:ascii="Verdana" w:eastAsia="Times New Roman" w:hAnsi="Verdana" w:cs="Times New Roman"/>
          <w:color w:val="333333"/>
          <w:sz w:val="16"/>
          <w:szCs w:val="16"/>
          <w:vertAlign w:val="superscript"/>
          <w:lang w:eastAsia="pl-PL"/>
        </w:rPr>
        <w:t>1</w:t>
      </w:r>
      <w:r w:rsidRPr="00D445A7">
        <w:rPr>
          <w:rFonts w:ascii="Verdana" w:eastAsia="Times New Roman" w:hAnsi="Verdana" w:cs="Times New Roman"/>
          <w:color w:val="333333"/>
          <w:sz w:val="18"/>
          <w:szCs w:val="18"/>
          <w:lang w:eastAsia="pl-PL"/>
        </w:rPr>
        <w:t xml:space="preserve">. Dzięki wzmożonym wysiłkom badaczy na całym świecie, współpracy międzyinstytucjonalnej i międzynarodowej oraz utworzeniu ogólnodostępnych platform wymiany informacji, stan wiedzy o nowym </w:t>
      </w:r>
      <w:proofErr w:type="spellStart"/>
      <w:r w:rsidRPr="00D445A7">
        <w:rPr>
          <w:rFonts w:ascii="Verdana" w:eastAsia="Times New Roman" w:hAnsi="Verdana" w:cs="Times New Roman"/>
          <w:color w:val="333333"/>
          <w:sz w:val="18"/>
          <w:szCs w:val="18"/>
          <w:lang w:eastAsia="pl-PL"/>
        </w:rPr>
        <w:t>koronawirusie</w:t>
      </w:r>
      <w:proofErr w:type="spellEnd"/>
      <w:r w:rsidRPr="00D445A7">
        <w:rPr>
          <w:rFonts w:ascii="Verdana" w:eastAsia="Times New Roman" w:hAnsi="Verdana" w:cs="Times New Roman"/>
          <w:color w:val="333333"/>
          <w:sz w:val="18"/>
          <w:szCs w:val="18"/>
          <w:lang w:eastAsia="pl-PL"/>
        </w:rPr>
        <w:t xml:space="preserve"> systematycznie się zwiększa, dostarczając coraz bardziej precyzyjnych narzędzi do zwalczania i kontroli nieznanej wcześniej choroby.</w:t>
      </w:r>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color w:val="333333"/>
          <w:sz w:val="18"/>
          <w:szCs w:val="18"/>
          <w:lang w:eastAsia="pl-PL"/>
        </w:rPr>
        <w:t>Ponieważ wydaje się, że istotny udział w patogenezie uszkodzenia tkanek i narządów w przebiegu COVID-19 odgrywa odpowiedź immunologiczna gospodarza na zakażenie, uwaga wielu autorów skupiła się na możliwości zastosowania w terapii leków wpływających na działanie układu odpornościowego</w:t>
      </w:r>
      <w:r w:rsidRPr="00D445A7">
        <w:rPr>
          <w:rFonts w:ascii="Verdana" w:eastAsia="Times New Roman" w:hAnsi="Verdana" w:cs="Times New Roman"/>
          <w:color w:val="333333"/>
          <w:sz w:val="16"/>
          <w:szCs w:val="16"/>
          <w:vertAlign w:val="superscript"/>
          <w:lang w:eastAsia="pl-PL"/>
        </w:rPr>
        <w:t>2,3</w:t>
      </w:r>
      <w:r w:rsidRPr="00D445A7">
        <w:rPr>
          <w:rFonts w:ascii="Verdana" w:eastAsia="Times New Roman" w:hAnsi="Verdana" w:cs="Times New Roman"/>
          <w:color w:val="333333"/>
          <w:sz w:val="18"/>
          <w:szCs w:val="18"/>
          <w:lang w:eastAsia="pl-PL"/>
        </w:rPr>
        <w:t>. W czerwcu 2020 roku opublikowano wstępny raport z brytyjskiego badania RECOVERY, w którym obserwowano zmniejszenie 28-dniowej śmiertelności u pacjentów otrzymujących deksametazon</w:t>
      </w:r>
      <w:r w:rsidRPr="00D445A7">
        <w:rPr>
          <w:rFonts w:ascii="Verdana" w:eastAsia="Times New Roman" w:hAnsi="Verdana" w:cs="Times New Roman"/>
          <w:color w:val="333333"/>
          <w:sz w:val="16"/>
          <w:szCs w:val="16"/>
          <w:vertAlign w:val="superscript"/>
          <w:lang w:eastAsia="pl-PL"/>
        </w:rPr>
        <w:t>4</w:t>
      </w:r>
      <w:r w:rsidRPr="00D445A7">
        <w:rPr>
          <w:rFonts w:ascii="Verdana" w:eastAsia="Times New Roman" w:hAnsi="Verdana" w:cs="Times New Roman"/>
          <w:color w:val="333333"/>
          <w:sz w:val="18"/>
          <w:szCs w:val="18"/>
          <w:lang w:eastAsia="pl-PL"/>
        </w:rPr>
        <w:t> (Zobacz: </w:t>
      </w:r>
      <w:proofErr w:type="spellStart"/>
      <w:r w:rsidRPr="00D445A7">
        <w:rPr>
          <w:rFonts w:ascii="Verdana" w:eastAsia="Times New Roman" w:hAnsi="Verdana" w:cs="Times New Roman"/>
          <w:color w:val="333333"/>
          <w:sz w:val="18"/>
          <w:szCs w:val="18"/>
          <w:lang w:eastAsia="pl-PL"/>
        </w:rPr>
        <w:fldChar w:fldCharType="begin"/>
      </w:r>
      <w:r w:rsidRPr="00D445A7">
        <w:rPr>
          <w:rFonts w:ascii="Verdana" w:eastAsia="Times New Roman" w:hAnsi="Verdana" w:cs="Times New Roman"/>
          <w:color w:val="333333"/>
          <w:sz w:val="18"/>
          <w:szCs w:val="18"/>
          <w:lang w:eastAsia="pl-PL"/>
        </w:rPr>
        <w:instrText xml:space="preserve"> HYPERLINK "https://www.mp.pl/covid19/leczenie/242510,deksametazon-w-porownaniu-z-opieka-standardowa-u-chorych-na-covid-19-leczonych-w-szpitalu" </w:instrText>
      </w:r>
      <w:r w:rsidRPr="00D445A7">
        <w:rPr>
          <w:rFonts w:ascii="Verdana" w:eastAsia="Times New Roman" w:hAnsi="Verdana" w:cs="Times New Roman"/>
          <w:color w:val="333333"/>
          <w:sz w:val="18"/>
          <w:szCs w:val="18"/>
          <w:lang w:eastAsia="pl-PL"/>
        </w:rPr>
        <w:fldChar w:fldCharType="separate"/>
      </w:r>
      <w:r w:rsidRPr="00D445A7">
        <w:rPr>
          <w:rFonts w:ascii="Verdana" w:eastAsia="Times New Roman" w:hAnsi="Verdana" w:cs="Times New Roman"/>
          <w:color w:val="00477F"/>
          <w:sz w:val="18"/>
          <w:szCs w:val="18"/>
          <w:u w:val="single"/>
          <w:lang w:eastAsia="pl-PL"/>
        </w:rPr>
        <w:t>Deksametazon</w:t>
      </w:r>
      <w:proofErr w:type="spellEnd"/>
      <w:r w:rsidRPr="00D445A7">
        <w:rPr>
          <w:rFonts w:ascii="Verdana" w:eastAsia="Times New Roman" w:hAnsi="Verdana" w:cs="Times New Roman"/>
          <w:color w:val="00477F"/>
          <w:sz w:val="18"/>
          <w:szCs w:val="18"/>
          <w:u w:val="single"/>
          <w:lang w:eastAsia="pl-PL"/>
        </w:rPr>
        <w:t xml:space="preserve"> w porównaniu z opieką standardową u chorych na COVID-19 leczonych w szpitalu – wstępne wyniki badania RECOVERY</w:t>
      </w:r>
      <w:r w:rsidRPr="00D445A7">
        <w:rPr>
          <w:rFonts w:ascii="Verdana" w:eastAsia="Times New Roman" w:hAnsi="Verdana" w:cs="Times New Roman"/>
          <w:color w:val="333333"/>
          <w:sz w:val="18"/>
          <w:szCs w:val="18"/>
          <w:lang w:eastAsia="pl-PL"/>
        </w:rPr>
        <w:fldChar w:fldCharType="end"/>
      </w:r>
      <w:r w:rsidRPr="00D445A7">
        <w:rPr>
          <w:rFonts w:ascii="Verdana" w:eastAsia="Times New Roman" w:hAnsi="Verdana" w:cs="Times New Roman"/>
          <w:color w:val="333333"/>
          <w:sz w:val="18"/>
          <w:szCs w:val="18"/>
          <w:lang w:eastAsia="pl-PL"/>
        </w:rPr>
        <w:t xml:space="preserve">) W odpowiedzi na te doniesienia, WHO podjęła się znalezienia odpowiedzi na pytanie o rolę </w:t>
      </w:r>
      <w:proofErr w:type="spellStart"/>
      <w:r w:rsidRPr="00D445A7">
        <w:rPr>
          <w:rFonts w:ascii="Verdana" w:eastAsia="Times New Roman" w:hAnsi="Verdana" w:cs="Times New Roman"/>
          <w:color w:val="333333"/>
          <w:sz w:val="18"/>
          <w:szCs w:val="18"/>
          <w:lang w:eastAsia="pl-PL"/>
        </w:rPr>
        <w:t>glikokortykosteroidów</w:t>
      </w:r>
      <w:proofErr w:type="spellEnd"/>
      <w:r w:rsidRPr="00D445A7">
        <w:rPr>
          <w:rFonts w:ascii="Verdana" w:eastAsia="Times New Roman" w:hAnsi="Verdana" w:cs="Times New Roman"/>
          <w:color w:val="333333"/>
          <w:sz w:val="18"/>
          <w:szCs w:val="18"/>
          <w:lang w:eastAsia="pl-PL"/>
        </w:rPr>
        <w:t xml:space="preserve"> w leczeniu COVID-19 oraz wydania zaleceń. Opierając się na danych z metaanalizy dziewięciu badań klinicznych z randomizacją, dotyczących zastosowania tej grupy leków u chorych na COVID-19 (w tym badania RECOVERY), sformułowano następujące zalecenia:</w:t>
      </w:r>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b/>
          <w:bCs/>
          <w:color w:val="333333"/>
          <w:sz w:val="18"/>
          <w:szCs w:val="18"/>
          <w:lang w:eastAsia="pl-PL"/>
        </w:rPr>
        <w:t xml:space="preserve">1. U chorych na COVID-19 o ciężkim i krytycznym przebiegu zaleca się stosowanie </w:t>
      </w:r>
      <w:proofErr w:type="spellStart"/>
      <w:r w:rsidRPr="00D445A7">
        <w:rPr>
          <w:rFonts w:ascii="Verdana" w:eastAsia="Times New Roman" w:hAnsi="Verdana" w:cs="Times New Roman"/>
          <w:b/>
          <w:bCs/>
          <w:color w:val="333333"/>
          <w:sz w:val="18"/>
          <w:szCs w:val="18"/>
          <w:lang w:eastAsia="pl-PL"/>
        </w:rPr>
        <w:t>glikokortykosteroidów</w:t>
      </w:r>
      <w:proofErr w:type="spellEnd"/>
      <w:r w:rsidRPr="00D445A7">
        <w:rPr>
          <w:rFonts w:ascii="Verdana" w:eastAsia="Times New Roman" w:hAnsi="Verdana" w:cs="Times New Roman"/>
          <w:b/>
          <w:bCs/>
          <w:color w:val="333333"/>
          <w:sz w:val="18"/>
          <w:szCs w:val="18"/>
          <w:lang w:eastAsia="pl-PL"/>
        </w:rPr>
        <w:t xml:space="preserve"> systemowych – zalecenie silne, umiarkowana jakość dowodów.</w:t>
      </w:r>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color w:val="333333"/>
          <w:sz w:val="18"/>
          <w:szCs w:val="18"/>
          <w:lang w:eastAsia="pl-PL"/>
        </w:rPr>
        <w:t>Przebieg choroby jest definiowany jako </w:t>
      </w:r>
      <w:r w:rsidRPr="00D445A7">
        <w:rPr>
          <w:rFonts w:ascii="Verdana" w:eastAsia="Times New Roman" w:hAnsi="Verdana" w:cs="Times New Roman"/>
          <w:b/>
          <w:bCs/>
          <w:color w:val="333333"/>
          <w:sz w:val="18"/>
          <w:szCs w:val="18"/>
          <w:lang w:eastAsia="pl-PL"/>
        </w:rPr>
        <w:t>ciężki</w:t>
      </w:r>
      <w:r w:rsidRPr="00D445A7">
        <w:rPr>
          <w:rFonts w:ascii="Verdana" w:eastAsia="Times New Roman" w:hAnsi="Verdana" w:cs="Times New Roman"/>
          <w:color w:val="333333"/>
          <w:sz w:val="18"/>
          <w:szCs w:val="18"/>
          <w:lang w:eastAsia="pl-PL"/>
        </w:rPr>
        <w:t>, jeśli spełnione jest co najmniej jedno kryterium:</w:t>
      </w:r>
    </w:p>
    <w:p w:rsidR="00D445A7" w:rsidRPr="00D445A7" w:rsidRDefault="00D445A7" w:rsidP="00D445A7">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color w:val="333333"/>
          <w:sz w:val="18"/>
          <w:szCs w:val="18"/>
          <w:lang w:eastAsia="pl-PL"/>
        </w:rPr>
        <w:t>saturacja krwi w trakcie oddychania powietrzem atmosferycznym wynosi &lt;90% (z zastrzeżeniem, że to wartość arbitralna i powinna być interpretowana indywidualnie w zależności od wyjściowej funkcji układu oddechowego oraz dynamiki objawów)</w:t>
      </w:r>
    </w:p>
    <w:p w:rsidR="00D445A7" w:rsidRPr="00D445A7" w:rsidRDefault="00D445A7" w:rsidP="00D445A7">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color w:val="333333"/>
          <w:sz w:val="18"/>
          <w:szCs w:val="18"/>
          <w:lang w:eastAsia="pl-PL"/>
        </w:rPr>
        <w:t>częstość oddechów wynosi &gt;30 na minutę u dorosłych i dzieci powyżej 5. roku życia, ≥40 na minutę u dzieci w wieku 1–5 lat, ≥50 u dzieci wieku 2–11 miesięcy lub ≥60 na minutę u dzieci poniżej 2. miesiąca życia</w:t>
      </w:r>
    </w:p>
    <w:p w:rsidR="00D445A7" w:rsidRPr="00D445A7" w:rsidRDefault="00D445A7" w:rsidP="00D445A7">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color w:val="333333"/>
          <w:sz w:val="18"/>
          <w:szCs w:val="18"/>
          <w:lang w:eastAsia="pl-PL"/>
        </w:rPr>
        <w:t>występują objawy niewydolności oddechowej (np. wzmożona praca dodatkowych mięśni oddechowych, trudności w wypowiedzeniu całego zdania; u dzieci: nasilone wciąganie międzyżebrzy, okolic podżebrowych, zaciąganie mięśni przedniej ściany klatki piersiowej, chrząkanie, sinica centralna oraz obecność innych zagrażających objawów).</w:t>
      </w:r>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b/>
          <w:bCs/>
          <w:color w:val="333333"/>
          <w:sz w:val="18"/>
          <w:szCs w:val="18"/>
          <w:lang w:eastAsia="pl-PL"/>
        </w:rPr>
        <w:t>Krytyczny przebieg choroby</w:t>
      </w:r>
      <w:r w:rsidRPr="00D445A7">
        <w:rPr>
          <w:rFonts w:ascii="Verdana" w:eastAsia="Times New Roman" w:hAnsi="Verdana" w:cs="Times New Roman"/>
          <w:color w:val="333333"/>
          <w:sz w:val="18"/>
          <w:szCs w:val="18"/>
          <w:lang w:eastAsia="pl-PL"/>
        </w:rPr>
        <w:t xml:space="preserve"> jest definiowany jako zespół ciężkiej ostrej niewydolności oddechowej (ARDS), posocznica, wstrząs septyczny oraz inne stany kliniczne wymagające wspomagania czynności życiowych za pomocą środków, takich jak wentylacja mechaniczna (inwazyjna lub nieinwazyjna) lub podawanie amin </w:t>
      </w:r>
      <w:proofErr w:type="spellStart"/>
      <w:r w:rsidRPr="00D445A7">
        <w:rPr>
          <w:rFonts w:ascii="Verdana" w:eastAsia="Times New Roman" w:hAnsi="Verdana" w:cs="Times New Roman"/>
          <w:color w:val="333333"/>
          <w:sz w:val="18"/>
          <w:szCs w:val="18"/>
          <w:lang w:eastAsia="pl-PL"/>
        </w:rPr>
        <w:t>katecholowych</w:t>
      </w:r>
      <w:proofErr w:type="spellEnd"/>
      <w:r w:rsidRPr="00D445A7">
        <w:rPr>
          <w:rFonts w:ascii="Verdana" w:eastAsia="Times New Roman" w:hAnsi="Verdana" w:cs="Times New Roman"/>
          <w:color w:val="333333"/>
          <w:sz w:val="18"/>
          <w:szCs w:val="18"/>
          <w:lang w:eastAsia="pl-PL"/>
        </w:rPr>
        <w:t xml:space="preserve"> we wlewie.</w:t>
      </w:r>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b/>
          <w:bCs/>
          <w:color w:val="333333"/>
          <w:sz w:val="18"/>
          <w:szCs w:val="18"/>
          <w:lang w:eastAsia="pl-PL"/>
        </w:rPr>
        <w:t xml:space="preserve">2. U chorych na COVID-19 bez ciężkiego przebiegu (niespełniających kryteriów ciężkiego lub krytycznego przebiegu choroby) stosowanie </w:t>
      </w:r>
      <w:proofErr w:type="spellStart"/>
      <w:r w:rsidRPr="00D445A7">
        <w:rPr>
          <w:rFonts w:ascii="Verdana" w:eastAsia="Times New Roman" w:hAnsi="Verdana" w:cs="Times New Roman"/>
          <w:b/>
          <w:bCs/>
          <w:color w:val="333333"/>
          <w:sz w:val="18"/>
          <w:szCs w:val="18"/>
          <w:lang w:eastAsia="pl-PL"/>
        </w:rPr>
        <w:t>glikokortykosteroidów</w:t>
      </w:r>
      <w:proofErr w:type="spellEnd"/>
      <w:r w:rsidRPr="00D445A7">
        <w:rPr>
          <w:rFonts w:ascii="Verdana" w:eastAsia="Times New Roman" w:hAnsi="Verdana" w:cs="Times New Roman"/>
          <w:b/>
          <w:bCs/>
          <w:color w:val="333333"/>
          <w:sz w:val="18"/>
          <w:szCs w:val="18"/>
          <w:lang w:eastAsia="pl-PL"/>
        </w:rPr>
        <w:t xml:space="preserve"> nie jest zalecane – zalecenie warunkowe, słaba jakość dowodów.</w:t>
      </w:r>
    </w:p>
    <w:p w:rsidR="00D445A7" w:rsidRPr="00D445A7" w:rsidRDefault="00D445A7" w:rsidP="00D445A7">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D445A7">
        <w:rPr>
          <w:rFonts w:ascii="Verdana" w:eastAsia="Times New Roman" w:hAnsi="Verdana" w:cs="Times New Roman"/>
          <w:color w:val="333333"/>
          <w:sz w:val="18"/>
          <w:szCs w:val="18"/>
          <w:lang w:eastAsia="pl-PL"/>
        </w:rPr>
        <w:lastRenderedPageBreak/>
        <w:t xml:space="preserve">Jeżeli rozpoczęto leczenie </w:t>
      </w:r>
      <w:proofErr w:type="spellStart"/>
      <w:r w:rsidRPr="00D445A7">
        <w:rPr>
          <w:rFonts w:ascii="Verdana" w:eastAsia="Times New Roman" w:hAnsi="Verdana" w:cs="Times New Roman"/>
          <w:color w:val="333333"/>
          <w:sz w:val="18"/>
          <w:szCs w:val="18"/>
          <w:lang w:eastAsia="pl-PL"/>
        </w:rPr>
        <w:t>glikokortykosteroidami</w:t>
      </w:r>
      <w:proofErr w:type="spellEnd"/>
      <w:r w:rsidRPr="00D445A7">
        <w:rPr>
          <w:rFonts w:ascii="Verdana" w:eastAsia="Times New Roman" w:hAnsi="Verdana" w:cs="Times New Roman"/>
          <w:color w:val="333333"/>
          <w:sz w:val="18"/>
          <w:szCs w:val="18"/>
          <w:lang w:eastAsia="pl-PL"/>
        </w:rPr>
        <w:t xml:space="preserve"> z powodu innych wskazań (np. zaostrzenie przewlekłej obturacyjnej choroby płuc, przewlekłe choroby autoimmunologiczne), leczenia nie należy przerywać. Pogorszenie się stanu pacjenta, u którego początkowo stwierdzano COVID-19 bez ciężkiego przebiegu, stanowi wskazanie do rozpoczęcia </w:t>
      </w:r>
      <w:proofErr w:type="spellStart"/>
      <w:r w:rsidRPr="00D445A7">
        <w:rPr>
          <w:rFonts w:ascii="Verdana" w:eastAsia="Times New Roman" w:hAnsi="Verdana" w:cs="Times New Roman"/>
          <w:color w:val="333333"/>
          <w:sz w:val="18"/>
          <w:szCs w:val="18"/>
          <w:lang w:eastAsia="pl-PL"/>
        </w:rPr>
        <w:t>glikokortykosteroidoterapii</w:t>
      </w:r>
      <w:proofErr w:type="spellEnd"/>
      <w:r w:rsidRPr="00D445A7">
        <w:rPr>
          <w:rFonts w:ascii="Verdana" w:eastAsia="Times New Roman" w:hAnsi="Verdana" w:cs="Times New Roman"/>
          <w:color w:val="333333"/>
          <w:sz w:val="18"/>
          <w:szCs w:val="18"/>
          <w:lang w:eastAsia="pl-PL"/>
        </w:rPr>
        <w:t>.</w:t>
      </w:r>
    </w:p>
    <w:p w:rsidR="00B4067B" w:rsidRDefault="00B4067B" w:rsidP="00B4067B">
      <w:pPr>
        <w:pStyle w:val="NormalnyWeb"/>
        <w:shd w:val="clear" w:color="auto" w:fill="FFFFFF"/>
        <w:rPr>
          <w:rFonts w:ascii="Verdana" w:hAnsi="Verdana"/>
          <w:color w:val="333333"/>
          <w:sz w:val="21"/>
          <w:szCs w:val="21"/>
        </w:rPr>
      </w:pPr>
      <w:r>
        <w:rPr>
          <w:rFonts w:ascii="Verdana" w:hAnsi="Verdana"/>
          <w:color w:val="333333"/>
          <w:sz w:val="21"/>
          <w:szCs w:val="21"/>
        </w:rPr>
        <w:t>Zalecenia powstały na podstawie danych umiarkowanej jakości, które wskazywały na zmniejszenie śmiertelności o 8,7% i 6,7% u chorych na COVID-19 o ciężkim lub krytycznych przebiegu.</w:t>
      </w:r>
    </w:p>
    <w:p w:rsidR="00B4067B" w:rsidRDefault="00B4067B" w:rsidP="00B4067B">
      <w:pPr>
        <w:pStyle w:val="Nagwek3"/>
        <w:shd w:val="clear" w:color="auto" w:fill="FFFFFF"/>
        <w:rPr>
          <w:rFonts w:ascii="Verdana" w:hAnsi="Verdana"/>
          <w:color w:val="000000"/>
          <w:sz w:val="27"/>
          <w:szCs w:val="27"/>
        </w:rPr>
      </w:pPr>
      <w:r>
        <w:rPr>
          <w:rFonts w:ascii="Verdana" w:hAnsi="Verdana"/>
          <w:b/>
          <w:bCs/>
          <w:color w:val="000000"/>
        </w:rPr>
        <w:t>Uwagi praktyczne</w:t>
      </w:r>
    </w:p>
    <w:p w:rsidR="00B4067B" w:rsidRDefault="00B4067B" w:rsidP="00B4067B">
      <w:pPr>
        <w:pStyle w:val="NormalnyWeb"/>
        <w:shd w:val="clear" w:color="auto" w:fill="FFFFFF"/>
        <w:rPr>
          <w:rFonts w:ascii="Verdana" w:hAnsi="Verdana"/>
          <w:color w:val="333333"/>
          <w:sz w:val="21"/>
          <w:szCs w:val="21"/>
        </w:rPr>
      </w:pPr>
      <w:r>
        <w:rPr>
          <w:rFonts w:ascii="Verdana" w:hAnsi="Verdana"/>
          <w:b/>
          <w:bCs/>
          <w:color w:val="333333"/>
          <w:sz w:val="21"/>
          <w:szCs w:val="21"/>
        </w:rPr>
        <w:t>Droga podania</w:t>
      </w:r>
      <w:r>
        <w:rPr>
          <w:rFonts w:ascii="Verdana" w:hAnsi="Verdana"/>
          <w:color w:val="333333"/>
          <w:sz w:val="21"/>
          <w:szCs w:val="21"/>
        </w:rPr>
        <w:t xml:space="preserve">: </w:t>
      </w:r>
      <w:proofErr w:type="spellStart"/>
      <w:r>
        <w:rPr>
          <w:rFonts w:ascii="Verdana" w:hAnsi="Verdana"/>
          <w:color w:val="333333"/>
          <w:sz w:val="21"/>
          <w:szCs w:val="21"/>
        </w:rPr>
        <w:t>glikokortykosteroidy</w:t>
      </w:r>
      <w:proofErr w:type="spellEnd"/>
      <w:r>
        <w:rPr>
          <w:rFonts w:ascii="Verdana" w:hAnsi="Verdana"/>
          <w:color w:val="333333"/>
          <w:sz w:val="21"/>
          <w:szCs w:val="21"/>
        </w:rPr>
        <w:t xml:space="preserve"> w leczeniu COVID-19 można podawać zarówno drogą doustną, jak i dożylną, chociaż należy mieć na uwadze, że u pacjentów w stanie krytycznym wchłanianie jelitowe jest często zaburzone, co wpływa negatywnie na dostępność biologiczną leku.</w:t>
      </w:r>
    </w:p>
    <w:p w:rsidR="00B4067B" w:rsidRDefault="00B4067B" w:rsidP="00B4067B">
      <w:pPr>
        <w:pStyle w:val="NormalnyWeb"/>
        <w:shd w:val="clear" w:color="auto" w:fill="FFFFFF"/>
        <w:rPr>
          <w:rFonts w:ascii="Verdana" w:hAnsi="Verdana"/>
          <w:color w:val="333333"/>
          <w:sz w:val="21"/>
          <w:szCs w:val="21"/>
        </w:rPr>
      </w:pPr>
      <w:r>
        <w:rPr>
          <w:rFonts w:ascii="Verdana" w:hAnsi="Verdana"/>
          <w:b/>
          <w:bCs/>
          <w:color w:val="333333"/>
          <w:sz w:val="21"/>
          <w:szCs w:val="21"/>
        </w:rPr>
        <w:t>Dawkowanie</w:t>
      </w:r>
      <w:r>
        <w:rPr>
          <w:rFonts w:ascii="Verdana" w:hAnsi="Verdana"/>
          <w:color w:val="333333"/>
          <w:sz w:val="21"/>
          <w:szCs w:val="21"/>
        </w:rPr>
        <w:t xml:space="preserve">: biorąc pod uwagę działanie GKS, dawka 6 mg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jest równoważna całkowitej dobowej dawce 150 mg </w:t>
      </w:r>
      <w:proofErr w:type="spellStart"/>
      <w:r>
        <w:rPr>
          <w:rFonts w:ascii="Verdana" w:hAnsi="Verdana"/>
          <w:color w:val="333333"/>
          <w:sz w:val="21"/>
          <w:szCs w:val="21"/>
        </w:rPr>
        <w:t>hydrokortyzonu</w:t>
      </w:r>
      <w:proofErr w:type="spellEnd"/>
      <w:r>
        <w:rPr>
          <w:rFonts w:ascii="Verdana" w:hAnsi="Verdana"/>
          <w:color w:val="333333"/>
          <w:sz w:val="21"/>
          <w:szCs w:val="21"/>
        </w:rPr>
        <w:t xml:space="preserve"> (np. 50 mg co 8 godzin), 32 mg </w:t>
      </w:r>
      <w:proofErr w:type="spellStart"/>
      <w:r>
        <w:rPr>
          <w:rFonts w:ascii="Verdana" w:hAnsi="Verdana"/>
          <w:color w:val="333333"/>
          <w:sz w:val="21"/>
          <w:szCs w:val="21"/>
        </w:rPr>
        <w:t>metylprednizolonu</w:t>
      </w:r>
      <w:proofErr w:type="spellEnd"/>
      <w:r>
        <w:rPr>
          <w:rFonts w:ascii="Verdana" w:hAnsi="Verdana"/>
          <w:color w:val="333333"/>
          <w:sz w:val="21"/>
          <w:szCs w:val="21"/>
        </w:rPr>
        <w:t xml:space="preserve"> (np. 8 mg co 6 godzin lub 16 mg co 12 godzin) lub 40 mg </w:t>
      </w:r>
      <w:proofErr w:type="spellStart"/>
      <w:r>
        <w:rPr>
          <w:rFonts w:ascii="Verdana" w:hAnsi="Verdana"/>
          <w:color w:val="333333"/>
          <w:sz w:val="21"/>
          <w:szCs w:val="21"/>
        </w:rPr>
        <w:t>prednizonu</w:t>
      </w:r>
      <w:proofErr w:type="spellEnd"/>
      <w:r>
        <w:rPr>
          <w:rFonts w:ascii="Verdana" w:hAnsi="Verdana"/>
          <w:color w:val="333333"/>
          <w:sz w:val="21"/>
          <w:szCs w:val="21"/>
        </w:rPr>
        <w:t>. Stosowanie preparatów dawkowanych raz na dobę może wpływać korzystnie na przestrzeganie planu leczenia.</w:t>
      </w:r>
    </w:p>
    <w:p w:rsidR="00B4067B" w:rsidRDefault="00B4067B" w:rsidP="00B4067B">
      <w:pPr>
        <w:pStyle w:val="NormalnyWeb"/>
        <w:shd w:val="clear" w:color="auto" w:fill="FFFFFF"/>
        <w:rPr>
          <w:rFonts w:ascii="Verdana" w:hAnsi="Verdana"/>
          <w:color w:val="333333"/>
          <w:sz w:val="21"/>
          <w:szCs w:val="21"/>
        </w:rPr>
      </w:pPr>
      <w:r>
        <w:rPr>
          <w:rFonts w:ascii="Verdana" w:hAnsi="Verdana"/>
          <w:b/>
          <w:bCs/>
          <w:color w:val="333333"/>
          <w:sz w:val="21"/>
          <w:szCs w:val="21"/>
        </w:rPr>
        <w:t>Czas leczenia</w:t>
      </w:r>
      <w:r>
        <w:rPr>
          <w:rFonts w:ascii="Verdana" w:hAnsi="Verdana"/>
          <w:color w:val="333333"/>
          <w:sz w:val="21"/>
          <w:szCs w:val="21"/>
        </w:rPr>
        <w:t>: zalecany czas leczenia GKS w przebiegu COVID-19 wynosi do 7–10 dni.</w:t>
      </w:r>
    </w:p>
    <w:p w:rsidR="00B4067B" w:rsidRDefault="00B4067B" w:rsidP="00B4067B">
      <w:pPr>
        <w:pStyle w:val="NormalnyWeb"/>
        <w:shd w:val="clear" w:color="auto" w:fill="FFFFFF"/>
        <w:rPr>
          <w:rFonts w:ascii="Verdana" w:hAnsi="Verdana"/>
          <w:color w:val="333333"/>
          <w:sz w:val="21"/>
          <w:szCs w:val="21"/>
        </w:rPr>
      </w:pPr>
      <w:r>
        <w:rPr>
          <w:rFonts w:ascii="Verdana" w:hAnsi="Verdana"/>
          <w:b/>
          <w:bCs/>
          <w:color w:val="333333"/>
          <w:sz w:val="21"/>
          <w:szCs w:val="21"/>
        </w:rPr>
        <w:t>Monitorowanie</w:t>
      </w:r>
      <w:r>
        <w:rPr>
          <w:rFonts w:ascii="Verdana" w:hAnsi="Verdana"/>
          <w:color w:val="333333"/>
          <w:sz w:val="21"/>
          <w:szCs w:val="21"/>
        </w:rPr>
        <w:t>: monitoruj stężenie glukozy we krwi u pacjentów leczonych GKS niezależnie od tego, czy wcześniej rozpoznano u nich cukrzycę.</w:t>
      </w:r>
    </w:p>
    <w:p w:rsidR="00B4067B" w:rsidRDefault="00B4067B" w:rsidP="00B4067B">
      <w:pPr>
        <w:pStyle w:val="NormalnyWeb"/>
        <w:shd w:val="clear" w:color="auto" w:fill="FFFFFF"/>
        <w:rPr>
          <w:rFonts w:ascii="Verdana" w:hAnsi="Verdana"/>
          <w:color w:val="333333"/>
          <w:sz w:val="21"/>
          <w:szCs w:val="21"/>
        </w:rPr>
      </w:pPr>
      <w:r>
        <w:rPr>
          <w:rFonts w:ascii="Verdana" w:hAnsi="Verdana"/>
          <w:b/>
          <w:bCs/>
          <w:color w:val="333333"/>
          <w:sz w:val="21"/>
          <w:szCs w:val="21"/>
        </w:rPr>
        <w:t>Dodatkowe środki ostrożności</w:t>
      </w:r>
      <w:r>
        <w:rPr>
          <w:rFonts w:ascii="Verdana" w:hAnsi="Verdana"/>
          <w:color w:val="333333"/>
          <w:sz w:val="21"/>
          <w:szCs w:val="21"/>
        </w:rPr>
        <w:t xml:space="preserve">: w zależności od sytuacji klinicznej i epidemiologicznej, przed rozpoczęciem leczenia GKS należy uwzględnić ryzyko nasilenia objawów wcześniej istniejącej infekcji (np. zarażenie węgorkiem jelitowym). W uzasadnionych przypadkach (rejon endemicznego występowania choroby, wywiad) celowa może być towarzysząca </w:t>
      </w:r>
      <w:proofErr w:type="spellStart"/>
      <w:r>
        <w:rPr>
          <w:rFonts w:ascii="Verdana" w:hAnsi="Verdana"/>
          <w:color w:val="333333"/>
          <w:sz w:val="21"/>
          <w:szCs w:val="21"/>
        </w:rPr>
        <w:t>glikokortykosteroidoterapii</w:t>
      </w:r>
      <w:proofErr w:type="spellEnd"/>
      <w:r>
        <w:rPr>
          <w:rFonts w:ascii="Verdana" w:hAnsi="Verdana"/>
          <w:color w:val="333333"/>
          <w:sz w:val="21"/>
          <w:szCs w:val="21"/>
        </w:rPr>
        <w:t xml:space="preserve"> odpowiednia diagnostyka lub leczenie empiryczne.</w:t>
      </w:r>
    </w:p>
    <w:p w:rsidR="00B4067B" w:rsidRDefault="00B4067B" w:rsidP="00B4067B">
      <w:pPr>
        <w:pStyle w:val="NormalnyWeb"/>
        <w:shd w:val="clear" w:color="auto" w:fill="FFFFFF"/>
        <w:rPr>
          <w:rFonts w:ascii="Verdana" w:hAnsi="Verdana"/>
          <w:color w:val="333333"/>
          <w:sz w:val="21"/>
          <w:szCs w:val="21"/>
        </w:rPr>
      </w:pPr>
      <w:r>
        <w:rPr>
          <w:rFonts w:ascii="Verdana" w:hAnsi="Verdana"/>
          <w:color w:val="333333"/>
          <w:sz w:val="21"/>
          <w:szCs w:val="21"/>
        </w:rPr>
        <w:t>Nie jest jasne, jaki wpływ mają GKS systemowe na replikację wirusa oraz odporność i ryzyko powikłań infekcyjnych mogących wpływać na przeżywalność po 28 dniach od zachorowania. Ze względu na niedostatek danych należy także zachować ostrożność, uogólniając zalecenia na grupy niewystarczająco reprezentowane w analizowanych badaniach, takie jak dzieci, pacjenci z niedoborami odporności czy chorzy na gruźlicę.</w:t>
      </w:r>
    </w:p>
    <w:p w:rsidR="00B4067B" w:rsidRDefault="00B4067B" w:rsidP="00B4067B">
      <w:pPr>
        <w:pStyle w:val="NormalnyWeb"/>
        <w:shd w:val="clear" w:color="auto" w:fill="FFFFFF"/>
        <w:rPr>
          <w:rFonts w:ascii="Verdana" w:hAnsi="Verdana"/>
          <w:color w:val="333333"/>
          <w:sz w:val="21"/>
          <w:szCs w:val="21"/>
        </w:rPr>
      </w:pPr>
      <w:r>
        <w:rPr>
          <w:rFonts w:ascii="Verdana" w:hAnsi="Verdana"/>
          <w:color w:val="333333"/>
          <w:sz w:val="21"/>
          <w:szCs w:val="21"/>
        </w:rPr>
        <w:t xml:space="preserve">Ponieważ analizowane badania nie dostarczyły wystarczającej ilości informacji na temat bezpieczeństwa </w:t>
      </w:r>
      <w:proofErr w:type="spellStart"/>
      <w:r>
        <w:rPr>
          <w:rFonts w:ascii="Verdana" w:hAnsi="Verdana"/>
          <w:color w:val="333333"/>
          <w:sz w:val="21"/>
          <w:szCs w:val="21"/>
        </w:rPr>
        <w:t>glikokortykosteroidoterapii</w:t>
      </w:r>
      <w:proofErr w:type="spellEnd"/>
      <w:r>
        <w:rPr>
          <w:rFonts w:ascii="Verdana" w:hAnsi="Verdana"/>
          <w:color w:val="333333"/>
          <w:sz w:val="21"/>
          <w:szCs w:val="21"/>
        </w:rPr>
        <w:t xml:space="preserve">, przy opracowywaniu zaleceń posiłkowano się danymi pochodzącymi z badań przeprowadzonych u chorych z posocznicą, ciężkim ostrym zespołem niewydolności oddechowej oraz </w:t>
      </w:r>
      <w:proofErr w:type="spellStart"/>
      <w:r>
        <w:rPr>
          <w:rFonts w:ascii="Verdana" w:hAnsi="Verdana"/>
          <w:color w:val="333333"/>
          <w:sz w:val="21"/>
          <w:szCs w:val="21"/>
        </w:rPr>
        <w:t>pozaszpitalnym</w:t>
      </w:r>
      <w:proofErr w:type="spellEnd"/>
      <w:r>
        <w:rPr>
          <w:rFonts w:ascii="Verdana" w:hAnsi="Verdana"/>
          <w:color w:val="333333"/>
          <w:sz w:val="21"/>
          <w:szCs w:val="21"/>
        </w:rPr>
        <w:t xml:space="preserve"> zapaleniem płuc. Istniejące dowody pozwalają przypuszczać, że stosowanie GKS w kontekście COVID-19 nie jest związane ze zwiększonym ryzykiem występowania zdarzeń niepożądanych innych niż hiperglikemia i </w:t>
      </w:r>
      <w:proofErr w:type="spellStart"/>
      <w:r>
        <w:rPr>
          <w:rFonts w:ascii="Verdana" w:hAnsi="Verdana"/>
          <w:color w:val="333333"/>
          <w:sz w:val="21"/>
          <w:szCs w:val="21"/>
        </w:rPr>
        <w:t>hipernatremia</w:t>
      </w:r>
      <w:proofErr w:type="spellEnd"/>
      <w:r>
        <w:rPr>
          <w:rFonts w:ascii="Verdana" w:hAnsi="Verdana"/>
          <w:color w:val="333333"/>
          <w:sz w:val="21"/>
          <w:szCs w:val="21"/>
        </w:rPr>
        <w:t>. Chociaż GKS stanowią grupę leków o ugruntowanej pozycji i znanym profilu bezpieczeństwa, w pewnych stanach klinicznych (zaburzenia gospodarki węglowodanowej, zaburzenia funkcji układu immunologicznego) należy je stosować z ostrożnością.</w:t>
      </w:r>
    </w:p>
    <w:p w:rsidR="00F34DFA" w:rsidRPr="00F34DFA" w:rsidRDefault="00F34DFA" w:rsidP="00F34DFA">
      <w:pPr>
        <w:shd w:val="clear" w:color="auto" w:fill="FFFFFF"/>
        <w:spacing w:after="0" w:line="240" w:lineRule="auto"/>
        <w:rPr>
          <w:rFonts w:ascii="Times New Roman" w:eastAsia="Times New Roman" w:hAnsi="Times New Roman" w:cs="Times New Roman"/>
          <w:color w:val="777777"/>
          <w:sz w:val="24"/>
          <w:szCs w:val="24"/>
          <w:lang w:eastAsia="pl-PL"/>
        </w:rPr>
      </w:pPr>
      <w:r w:rsidRPr="00F34DFA">
        <w:rPr>
          <w:rFonts w:ascii="Times New Roman" w:eastAsia="Times New Roman" w:hAnsi="Times New Roman" w:cs="Times New Roman"/>
          <w:color w:val="777777"/>
          <w:sz w:val="24"/>
          <w:szCs w:val="24"/>
          <w:lang w:eastAsia="pl-PL"/>
        </w:rPr>
        <w:lastRenderedPageBreak/>
        <w:t>1. https://covid19.who.int/</w:t>
      </w:r>
      <w:r w:rsidRPr="00F34DFA">
        <w:rPr>
          <w:rFonts w:ascii="Times New Roman" w:eastAsia="Times New Roman" w:hAnsi="Times New Roman" w:cs="Times New Roman"/>
          <w:color w:val="777777"/>
          <w:sz w:val="24"/>
          <w:szCs w:val="24"/>
          <w:lang w:eastAsia="pl-PL"/>
        </w:rPr>
        <w:br/>
        <w:t xml:space="preserve">2. Blanco-Melo D., </w:t>
      </w:r>
      <w:proofErr w:type="spellStart"/>
      <w:r w:rsidRPr="00F34DFA">
        <w:rPr>
          <w:rFonts w:ascii="Times New Roman" w:eastAsia="Times New Roman" w:hAnsi="Times New Roman" w:cs="Times New Roman"/>
          <w:color w:val="777777"/>
          <w:sz w:val="24"/>
          <w:szCs w:val="24"/>
          <w:lang w:eastAsia="pl-PL"/>
        </w:rPr>
        <w:t>Nilsson-Payant</w:t>
      </w:r>
      <w:proofErr w:type="spellEnd"/>
      <w:r w:rsidRPr="00F34DFA">
        <w:rPr>
          <w:rFonts w:ascii="Times New Roman" w:eastAsia="Times New Roman" w:hAnsi="Times New Roman" w:cs="Times New Roman"/>
          <w:color w:val="777777"/>
          <w:sz w:val="24"/>
          <w:szCs w:val="24"/>
          <w:lang w:eastAsia="pl-PL"/>
        </w:rPr>
        <w:t xml:space="preserve"> B.E., </w:t>
      </w:r>
      <w:proofErr w:type="spellStart"/>
      <w:r w:rsidRPr="00F34DFA">
        <w:rPr>
          <w:rFonts w:ascii="Times New Roman" w:eastAsia="Times New Roman" w:hAnsi="Times New Roman" w:cs="Times New Roman"/>
          <w:color w:val="777777"/>
          <w:sz w:val="24"/>
          <w:szCs w:val="24"/>
          <w:lang w:eastAsia="pl-PL"/>
        </w:rPr>
        <w:t>Liu</w:t>
      </w:r>
      <w:proofErr w:type="spellEnd"/>
      <w:r w:rsidRPr="00F34DFA">
        <w:rPr>
          <w:rFonts w:ascii="Times New Roman" w:eastAsia="Times New Roman" w:hAnsi="Times New Roman" w:cs="Times New Roman"/>
          <w:color w:val="777777"/>
          <w:sz w:val="24"/>
          <w:szCs w:val="24"/>
          <w:lang w:eastAsia="pl-PL"/>
        </w:rPr>
        <w:t xml:space="preserve"> W.C. i </w:t>
      </w:r>
      <w:proofErr w:type="spellStart"/>
      <w:r w:rsidRPr="00F34DFA">
        <w:rPr>
          <w:rFonts w:ascii="Times New Roman" w:eastAsia="Times New Roman" w:hAnsi="Times New Roman" w:cs="Times New Roman"/>
          <w:color w:val="777777"/>
          <w:sz w:val="24"/>
          <w:szCs w:val="24"/>
          <w:lang w:eastAsia="pl-PL"/>
        </w:rPr>
        <w:t>wsp</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Imbalanced</w:t>
      </w:r>
      <w:proofErr w:type="spellEnd"/>
      <w:r w:rsidRPr="00F34DFA">
        <w:rPr>
          <w:rFonts w:ascii="Times New Roman" w:eastAsia="Times New Roman" w:hAnsi="Times New Roman" w:cs="Times New Roman"/>
          <w:color w:val="777777"/>
          <w:sz w:val="24"/>
          <w:szCs w:val="24"/>
          <w:lang w:eastAsia="pl-PL"/>
        </w:rPr>
        <w:t xml:space="preserve"> Host </w:t>
      </w:r>
      <w:proofErr w:type="spellStart"/>
      <w:r w:rsidRPr="00F34DFA">
        <w:rPr>
          <w:rFonts w:ascii="Times New Roman" w:eastAsia="Times New Roman" w:hAnsi="Times New Roman" w:cs="Times New Roman"/>
          <w:color w:val="777777"/>
          <w:sz w:val="24"/>
          <w:szCs w:val="24"/>
          <w:lang w:eastAsia="pl-PL"/>
        </w:rPr>
        <w:t>Response</w:t>
      </w:r>
      <w:proofErr w:type="spellEnd"/>
      <w:r w:rsidRPr="00F34DFA">
        <w:rPr>
          <w:rFonts w:ascii="Times New Roman" w:eastAsia="Times New Roman" w:hAnsi="Times New Roman" w:cs="Times New Roman"/>
          <w:color w:val="777777"/>
          <w:sz w:val="24"/>
          <w:szCs w:val="24"/>
          <w:lang w:eastAsia="pl-PL"/>
        </w:rPr>
        <w:t xml:space="preserve"> to SARS-CoV-2 </w:t>
      </w:r>
      <w:proofErr w:type="spellStart"/>
      <w:r w:rsidRPr="00F34DFA">
        <w:rPr>
          <w:rFonts w:ascii="Times New Roman" w:eastAsia="Times New Roman" w:hAnsi="Times New Roman" w:cs="Times New Roman"/>
          <w:color w:val="777777"/>
          <w:sz w:val="24"/>
          <w:szCs w:val="24"/>
          <w:lang w:eastAsia="pl-PL"/>
        </w:rPr>
        <w:t>Drives</w:t>
      </w:r>
      <w:proofErr w:type="spellEnd"/>
      <w:r w:rsidRPr="00F34DFA">
        <w:rPr>
          <w:rFonts w:ascii="Times New Roman" w:eastAsia="Times New Roman" w:hAnsi="Times New Roman" w:cs="Times New Roman"/>
          <w:color w:val="777777"/>
          <w:sz w:val="24"/>
          <w:szCs w:val="24"/>
          <w:lang w:eastAsia="pl-PL"/>
        </w:rPr>
        <w:t xml:space="preserve"> Development of COVID-19. Cell. 2020; 181(5): 1036–1045.e9. doi:10.1016/j.cell.2020.04.026.</w:t>
      </w:r>
      <w:r w:rsidRPr="00F34DFA">
        <w:rPr>
          <w:rFonts w:ascii="Times New Roman" w:eastAsia="Times New Roman" w:hAnsi="Times New Roman" w:cs="Times New Roman"/>
          <w:color w:val="777777"/>
          <w:sz w:val="24"/>
          <w:szCs w:val="24"/>
          <w:lang w:eastAsia="pl-PL"/>
        </w:rPr>
        <w:br/>
        <w:t xml:space="preserve">3. Catanzaro M., </w:t>
      </w:r>
      <w:proofErr w:type="spellStart"/>
      <w:r w:rsidRPr="00F34DFA">
        <w:rPr>
          <w:rFonts w:ascii="Times New Roman" w:eastAsia="Times New Roman" w:hAnsi="Times New Roman" w:cs="Times New Roman"/>
          <w:color w:val="777777"/>
          <w:sz w:val="24"/>
          <w:szCs w:val="24"/>
          <w:lang w:eastAsia="pl-PL"/>
        </w:rPr>
        <w:t>Fagiani</w:t>
      </w:r>
      <w:proofErr w:type="spellEnd"/>
      <w:r w:rsidRPr="00F34DFA">
        <w:rPr>
          <w:rFonts w:ascii="Times New Roman" w:eastAsia="Times New Roman" w:hAnsi="Times New Roman" w:cs="Times New Roman"/>
          <w:color w:val="777777"/>
          <w:sz w:val="24"/>
          <w:szCs w:val="24"/>
          <w:lang w:eastAsia="pl-PL"/>
        </w:rPr>
        <w:t xml:space="preserve"> F., </w:t>
      </w:r>
      <w:proofErr w:type="spellStart"/>
      <w:r w:rsidRPr="00F34DFA">
        <w:rPr>
          <w:rFonts w:ascii="Times New Roman" w:eastAsia="Times New Roman" w:hAnsi="Times New Roman" w:cs="Times New Roman"/>
          <w:color w:val="777777"/>
          <w:sz w:val="24"/>
          <w:szCs w:val="24"/>
          <w:lang w:eastAsia="pl-PL"/>
        </w:rPr>
        <w:t>Racchi</w:t>
      </w:r>
      <w:proofErr w:type="spellEnd"/>
      <w:r w:rsidRPr="00F34DFA">
        <w:rPr>
          <w:rFonts w:ascii="Times New Roman" w:eastAsia="Times New Roman" w:hAnsi="Times New Roman" w:cs="Times New Roman"/>
          <w:color w:val="777777"/>
          <w:sz w:val="24"/>
          <w:szCs w:val="24"/>
          <w:lang w:eastAsia="pl-PL"/>
        </w:rPr>
        <w:t xml:space="preserve"> M. i </w:t>
      </w:r>
      <w:proofErr w:type="spellStart"/>
      <w:r w:rsidRPr="00F34DFA">
        <w:rPr>
          <w:rFonts w:ascii="Times New Roman" w:eastAsia="Times New Roman" w:hAnsi="Times New Roman" w:cs="Times New Roman"/>
          <w:color w:val="777777"/>
          <w:sz w:val="24"/>
          <w:szCs w:val="24"/>
          <w:lang w:eastAsia="pl-PL"/>
        </w:rPr>
        <w:t>wsp</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Immune</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response</w:t>
      </w:r>
      <w:proofErr w:type="spellEnd"/>
      <w:r w:rsidRPr="00F34DFA">
        <w:rPr>
          <w:rFonts w:ascii="Times New Roman" w:eastAsia="Times New Roman" w:hAnsi="Times New Roman" w:cs="Times New Roman"/>
          <w:color w:val="777777"/>
          <w:sz w:val="24"/>
          <w:szCs w:val="24"/>
          <w:lang w:eastAsia="pl-PL"/>
        </w:rPr>
        <w:t xml:space="preserve"> in COVID-19: </w:t>
      </w:r>
      <w:proofErr w:type="spellStart"/>
      <w:r w:rsidRPr="00F34DFA">
        <w:rPr>
          <w:rFonts w:ascii="Times New Roman" w:eastAsia="Times New Roman" w:hAnsi="Times New Roman" w:cs="Times New Roman"/>
          <w:color w:val="777777"/>
          <w:sz w:val="24"/>
          <w:szCs w:val="24"/>
          <w:lang w:eastAsia="pl-PL"/>
        </w:rPr>
        <w:t>addressing</w:t>
      </w:r>
      <w:proofErr w:type="spellEnd"/>
      <w:r w:rsidRPr="00F34DFA">
        <w:rPr>
          <w:rFonts w:ascii="Times New Roman" w:eastAsia="Times New Roman" w:hAnsi="Times New Roman" w:cs="Times New Roman"/>
          <w:color w:val="777777"/>
          <w:sz w:val="24"/>
          <w:szCs w:val="24"/>
          <w:lang w:eastAsia="pl-PL"/>
        </w:rPr>
        <w:t xml:space="preserve"> a </w:t>
      </w:r>
      <w:proofErr w:type="spellStart"/>
      <w:r w:rsidRPr="00F34DFA">
        <w:rPr>
          <w:rFonts w:ascii="Times New Roman" w:eastAsia="Times New Roman" w:hAnsi="Times New Roman" w:cs="Times New Roman"/>
          <w:color w:val="777777"/>
          <w:sz w:val="24"/>
          <w:szCs w:val="24"/>
          <w:lang w:eastAsia="pl-PL"/>
        </w:rPr>
        <w:t>pharmacological</w:t>
      </w:r>
      <w:proofErr w:type="spellEnd"/>
      <w:r w:rsidRPr="00F34DFA">
        <w:rPr>
          <w:rFonts w:ascii="Times New Roman" w:eastAsia="Times New Roman" w:hAnsi="Times New Roman" w:cs="Times New Roman"/>
          <w:color w:val="777777"/>
          <w:sz w:val="24"/>
          <w:szCs w:val="24"/>
          <w:lang w:eastAsia="pl-PL"/>
        </w:rPr>
        <w:t xml:space="preserve"> challenge by </w:t>
      </w:r>
      <w:proofErr w:type="spellStart"/>
      <w:r w:rsidRPr="00F34DFA">
        <w:rPr>
          <w:rFonts w:ascii="Times New Roman" w:eastAsia="Times New Roman" w:hAnsi="Times New Roman" w:cs="Times New Roman"/>
          <w:color w:val="777777"/>
          <w:sz w:val="24"/>
          <w:szCs w:val="24"/>
          <w:lang w:eastAsia="pl-PL"/>
        </w:rPr>
        <w:t>targeting</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pathways</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triggered</w:t>
      </w:r>
      <w:proofErr w:type="spellEnd"/>
      <w:r w:rsidRPr="00F34DFA">
        <w:rPr>
          <w:rFonts w:ascii="Times New Roman" w:eastAsia="Times New Roman" w:hAnsi="Times New Roman" w:cs="Times New Roman"/>
          <w:color w:val="777777"/>
          <w:sz w:val="24"/>
          <w:szCs w:val="24"/>
          <w:lang w:eastAsia="pl-PL"/>
        </w:rPr>
        <w:t xml:space="preserve"> by SARS-CoV-2. </w:t>
      </w:r>
      <w:proofErr w:type="spellStart"/>
      <w:r w:rsidRPr="00F34DFA">
        <w:rPr>
          <w:rFonts w:ascii="Times New Roman" w:eastAsia="Times New Roman" w:hAnsi="Times New Roman" w:cs="Times New Roman"/>
          <w:color w:val="777777"/>
          <w:sz w:val="24"/>
          <w:szCs w:val="24"/>
          <w:lang w:eastAsia="pl-PL"/>
        </w:rPr>
        <w:t>Signal</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Transduct</w:t>
      </w:r>
      <w:proofErr w:type="spellEnd"/>
      <w:r w:rsidRPr="00F34DFA">
        <w:rPr>
          <w:rFonts w:ascii="Times New Roman" w:eastAsia="Times New Roman" w:hAnsi="Times New Roman" w:cs="Times New Roman"/>
          <w:color w:val="777777"/>
          <w:sz w:val="24"/>
          <w:szCs w:val="24"/>
          <w:lang w:eastAsia="pl-PL"/>
        </w:rPr>
        <w:t xml:space="preserve"> Target </w:t>
      </w:r>
      <w:proofErr w:type="spellStart"/>
      <w:r w:rsidRPr="00F34DFA">
        <w:rPr>
          <w:rFonts w:ascii="Times New Roman" w:eastAsia="Times New Roman" w:hAnsi="Times New Roman" w:cs="Times New Roman"/>
          <w:color w:val="777777"/>
          <w:sz w:val="24"/>
          <w:szCs w:val="24"/>
          <w:lang w:eastAsia="pl-PL"/>
        </w:rPr>
        <w:t>Ther</w:t>
      </w:r>
      <w:proofErr w:type="spellEnd"/>
      <w:r w:rsidRPr="00F34DFA">
        <w:rPr>
          <w:rFonts w:ascii="Times New Roman" w:eastAsia="Times New Roman" w:hAnsi="Times New Roman" w:cs="Times New Roman"/>
          <w:color w:val="777777"/>
          <w:sz w:val="24"/>
          <w:szCs w:val="24"/>
          <w:lang w:eastAsia="pl-PL"/>
        </w:rPr>
        <w:t xml:space="preserve">. 2020; 5(1): 84. </w:t>
      </w:r>
      <w:proofErr w:type="spellStart"/>
      <w:r w:rsidRPr="00F34DFA">
        <w:rPr>
          <w:rFonts w:ascii="Times New Roman" w:eastAsia="Times New Roman" w:hAnsi="Times New Roman" w:cs="Times New Roman"/>
          <w:color w:val="777777"/>
          <w:sz w:val="24"/>
          <w:szCs w:val="24"/>
          <w:lang w:eastAsia="pl-PL"/>
        </w:rPr>
        <w:t>Published</w:t>
      </w:r>
      <w:proofErr w:type="spellEnd"/>
      <w:r w:rsidRPr="00F34DFA">
        <w:rPr>
          <w:rFonts w:ascii="Times New Roman" w:eastAsia="Times New Roman" w:hAnsi="Times New Roman" w:cs="Times New Roman"/>
          <w:color w:val="777777"/>
          <w:sz w:val="24"/>
          <w:szCs w:val="24"/>
          <w:lang w:eastAsia="pl-PL"/>
        </w:rPr>
        <w:t xml:space="preserve"> 2020 May 29. doi:10.1038/s41392-020-0191-1.</w:t>
      </w:r>
      <w:r w:rsidRPr="00F34DFA">
        <w:rPr>
          <w:rFonts w:ascii="Times New Roman" w:eastAsia="Times New Roman" w:hAnsi="Times New Roman" w:cs="Times New Roman"/>
          <w:color w:val="777777"/>
          <w:sz w:val="24"/>
          <w:szCs w:val="24"/>
          <w:lang w:eastAsia="pl-PL"/>
        </w:rPr>
        <w:br/>
        <w:t xml:space="preserve">4. RECOVERY </w:t>
      </w:r>
      <w:proofErr w:type="spellStart"/>
      <w:r w:rsidRPr="00F34DFA">
        <w:rPr>
          <w:rFonts w:ascii="Times New Roman" w:eastAsia="Times New Roman" w:hAnsi="Times New Roman" w:cs="Times New Roman"/>
          <w:color w:val="777777"/>
          <w:sz w:val="24"/>
          <w:szCs w:val="24"/>
          <w:lang w:eastAsia="pl-PL"/>
        </w:rPr>
        <w:t>Collaborative</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Group</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Horby</w:t>
      </w:r>
      <w:proofErr w:type="spellEnd"/>
      <w:r w:rsidRPr="00F34DFA">
        <w:rPr>
          <w:rFonts w:ascii="Times New Roman" w:eastAsia="Times New Roman" w:hAnsi="Times New Roman" w:cs="Times New Roman"/>
          <w:color w:val="777777"/>
          <w:sz w:val="24"/>
          <w:szCs w:val="24"/>
          <w:lang w:eastAsia="pl-PL"/>
        </w:rPr>
        <w:t xml:space="preserve"> P., Lim W.S., i </w:t>
      </w:r>
      <w:proofErr w:type="spellStart"/>
      <w:r w:rsidRPr="00F34DFA">
        <w:rPr>
          <w:rFonts w:ascii="Times New Roman" w:eastAsia="Times New Roman" w:hAnsi="Times New Roman" w:cs="Times New Roman"/>
          <w:color w:val="777777"/>
          <w:sz w:val="24"/>
          <w:szCs w:val="24"/>
          <w:lang w:eastAsia="pl-PL"/>
        </w:rPr>
        <w:t>wsp</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Dexamethasone</w:t>
      </w:r>
      <w:proofErr w:type="spellEnd"/>
      <w:r w:rsidRPr="00F34DFA">
        <w:rPr>
          <w:rFonts w:ascii="Times New Roman" w:eastAsia="Times New Roman" w:hAnsi="Times New Roman" w:cs="Times New Roman"/>
          <w:color w:val="777777"/>
          <w:sz w:val="24"/>
          <w:szCs w:val="24"/>
          <w:lang w:eastAsia="pl-PL"/>
        </w:rPr>
        <w:t xml:space="preserve"> in </w:t>
      </w:r>
      <w:proofErr w:type="spellStart"/>
      <w:r w:rsidRPr="00F34DFA">
        <w:rPr>
          <w:rFonts w:ascii="Times New Roman" w:eastAsia="Times New Roman" w:hAnsi="Times New Roman" w:cs="Times New Roman"/>
          <w:color w:val="777777"/>
          <w:sz w:val="24"/>
          <w:szCs w:val="24"/>
          <w:lang w:eastAsia="pl-PL"/>
        </w:rPr>
        <w:t>Hospitalized</w:t>
      </w:r>
      <w:proofErr w:type="spellEnd"/>
      <w:r w:rsidRPr="00F34DFA">
        <w:rPr>
          <w:rFonts w:ascii="Times New Roman" w:eastAsia="Times New Roman" w:hAnsi="Times New Roman" w:cs="Times New Roman"/>
          <w:color w:val="777777"/>
          <w:sz w:val="24"/>
          <w:szCs w:val="24"/>
          <w:lang w:eastAsia="pl-PL"/>
        </w:rPr>
        <w:t xml:space="preserve"> </w:t>
      </w:r>
      <w:proofErr w:type="spellStart"/>
      <w:r w:rsidRPr="00F34DFA">
        <w:rPr>
          <w:rFonts w:ascii="Times New Roman" w:eastAsia="Times New Roman" w:hAnsi="Times New Roman" w:cs="Times New Roman"/>
          <w:color w:val="777777"/>
          <w:sz w:val="24"/>
          <w:szCs w:val="24"/>
          <w:lang w:eastAsia="pl-PL"/>
        </w:rPr>
        <w:t>Patients</w:t>
      </w:r>
      <w:proofErr w:type="spellEnd"/>
      <w:r w:rsidRPr="00F34DFA">
        <w:rPr>
          <w:rFonts w:ascii="Times New Roman" w:eastAsia="Times New Roman" w:hAnsi="Times New Roman" w:cs="Times New Roman"/>
          <w:color w:val="777777"/>
          <w:sz w:val="24"/>
          <w:szCs w:val="24"/>
          <w:lang w:eastAsia="pl-PL"/>
        </w:rPr>
        <w:t xml:space="preserve"> with Covid-19 – Preliminary Report [</w:t>
      </w:r>
      <w:proofErr w:type="spellStart"/>
      <w:r w:rsidRPr="00F34DFA">
        <w:rPr>
          <w:rFonts w:ascii="Times New Roman" w:eastAsia="Times New Roman" w:hAnsi="Times New Roman" w:cs="Times New Roman"/>
          <w:color w:val="777777"/>
          <w:sz w:val="24"/>
          <w:szCs w:val="24"/>
          <w:lang w:eastAsia="pl-PL"/>
        </w:rPr>
        <w:t>published</w:t>
      </w:r>
      <w:proofErr w:type="spellEnd"/>
      <w:r w:rsidRPr="00F34DFA">
        <w:rPr>
          <w:rFonts w:ascii="Times New Roman" w:eastAsia="Times New Roman" w:hAnsi="Times New Roman" w:cs="Times New Roman"/>
          <w:color w:val="777777"/>
          <w:sz w:val="24"/>
          <w:szCs w:val="24"/>
          <w:lang w:eastAsia="pl-PL"/>
        </w:rPr>
        <w:t xml:space="preserve"> online </w:t>
      </w:r>
      <w:proofErr w:type="spellStart"/>
      <w:r w:rsidRPr="00F34DFA">
        <w:rPr>
          <w:rFonts w:ascii="Times New Roman" w:eastAsia="Times New Roman" w:hAnsi="Times New Roman" w:cs="Times New Roman"/>
          <w:color w:val="777777"/>
          <w:sz w:val="24"/>
          <w:szCs w:val="24"/>
          <w:lang w:eastAsia="pl-PL"/>
        </w:rPr>
        <w:t>ahead</w:t>
      </w:r>
      <w:proofErr w:type="spellEnd"/>
      <w:r w:rsidRPr="00F34DFA">
        <w:rPr>
          <w:rFonts w:ascii="Times New Roman" w:eastAsia="Times New Roman" w:hAnsi="Times New Roman" w:cs="Times New Roman"/>
          <w:color w:val="777777"/>
          <w:sz w:val="24"/>
          <w:szCs w:val="24"/>
          <w:lang w:eastAsia="pl-PL"/>
        </w:rPr>
        <w:t xml:space="preserve"> of </w:t>
      </w:r>
      <w:proofErr w:type="spellStart"/>
      <w:r w:rsidRPr="00F34DFA">
        <w:rPr>
          <w:rFonts w:ascii="Times New Roman" w:eastAsia="Times New Roman" w:hAnsi="Times New Roman" w:cs="Times New Roman"/>
          <w:color w:val="777777"/>
          <w:sz w:val="24"/>
          <w:szCs w:val="24"/>
          <w:lang w:eastAsia="pl-PL"/>
        </w:rPr>
        <w:t>print</w:t>
      </w:r>
      <w:proofErr w:type="spellEnd"/>
      <w:r w:rsidRPr="00F34DFA">
        <w:rPr>
          <w:rFonts w:ascii="Times New Roman" w:eastAsia="Times New Roman" w:hAnsi="Times New Roman" w:cs="Times New Roman"/>
          <w:color w:val="777777"/>
          <w:sz w:val="24"/>
          <w:szCs w:val="24"/>
          <w:lang w:eastAsia="pl-PL"/>
        </w:rPr>
        <w:t xml:space="preserve">, 2020 Jul 17]. N </w:t>
      </w:r>
      <w:proofErr w:type="spellStart"/>
      <w:r w:rsidRPr="00F34DFA">
        <w:rPr>
          <w:rFonts w:ascii="Times New Roman" w:eastAsia="Times New Roman" w:hAnsi="Times New Roman" w:cs="Times New Roman"/>
          <w:color w:val="777777"/>
          <w:sz w:val="24"/>
          <w:szCs w:val="24"/>
          <w:lang w:eastAsia="pl-PL"/>
        </w:rPr>
        <w:t>Engl</w:t>
      </w:r>
      <w:proofErr w:type="spellEnd"/>
      <w:r w:rsidRPr="00F34DFA">
        <w:rPr>
          <w:rFonts w:ascii="Times New Roman" w:eastAsia="Times New Roman" w:hAnsi="Times New Roman" w:cs="Times New Roman"/>
          <w:color w:val="777777"/>
          <w:sz w:val="24"/>
          <w:szCs w:val="24"/>
          <w:lang w:eastAsia="pl-PL"/>
        </w:rPr>
        <w:t>. J. Med. 2020; NEJMoa2021436. doi:10.1056/NEJMoa2021436.</w:t>
      </w:r>
    </w:p>
    <w:p w:rsidR="00E463A9" w:rsidRDefault="00E463A9">
      <w:bookmarkStart w:id="0" w:name="_GoBack"/>
      <w:bookmarkEnd w:id="0"/>
    </w:p>
    <w:sectPr w:rsidR="00E46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97F67"/>
    <w:multiLevelType w:val="multilevel"/>
    <w:tmpl w:val="C1B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A7"/>
    <w:rsid w:val="00B4067B"/>
    <w:rsid w:val="00D445A7"/>
    <w:rsid w:val="00E463A9"/>
    <w:rsid w:val="00F34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43AE-06CE-47F5-B318-DF069263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D4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B406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45A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D445A7"/>
    <w:rPr>
      <w:b/>
      <w:bCs/>
    </w:rPr>
  </w:style>
  <w:style w:type="character" w:styleId="Hipercze">
    <w:name w:val="Hyperlink"/>
    <w:basedOn w:val="Domylnaczcionkaakapitu"/>
    <w:uiPriority w:val="99"/>
    <w:semiHidden/>
    <w:unhideWhenUsed/>
    <w:rsid w:val="00D445A7"/>
    <w:rPr>
      <w:color w:val="0000FF"/>
      <w:u w:val="single"/>
    </w:rPr>
  </w:style>
  <w:style w:type="paragraph" w:styleId="NormalnyWeb">
    <w:name w:val="Normal (Web)"/>
    <w:basedOn w:val="Normalny"/>
    <w:uiPriority w:val="99"/>
    <w:semiHidden/>
    <w:unhideWhenUsed/>
    <w:rsid w:val="00D445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B406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76274">
      <w:bodyDiv w:val="1"/>
      <w:marLeft w:val="0"/>
      <w:marRight w:val="0"/>
      <w:marTop w:val="0"/>
      <w:marBottom w:val="0"/>
      <w:divBdr>
        <w:top w:val="none" w:sz="0" w:space="0" w:color="auto"/>
        <w:left w:val="none" w:sz="0" w:space="0" w:color="auto"/>
        <w:bottom w:val="none" w:sz="0" w:space="0" w:color="auto"/>
        <w:right w:val="none" w:sz="0" w:space="0" w:color="auto"/>
      </w:divBdr>
      <w:divsChild>
        <w:div w:id="683213811">
          <w:marLeft w:val="0"/>
          <w:marRight w:val="0"/>
          <w:marTop w:val="0"/>
          <w:marBottom w:val="0"/>
          <w:divBdr>
            <w:top w:val="none" w:sz="0" w:space="0" w:color="auto"/>
            <w:left w:val="none" w:sz="0" w:space="0" w:color="auto"/>
            <w:bottom w:val="none" w:sz="0" w:space="0" w:color="auto"/>
            <w:right w:val="none" w:sz="0" w:space="0" w:color="auto"/>
          </w:divBdr>
          <w:divsChild>
            <w:div w:id="1574464061">
              <w:marLeft w:val="0"/>
              <w:marRight w:val="0"/>
              <w:marTop w:val="0"/>
              <w:marBottom w:val="0"/>
              <w:divBdr>
                <w:top w:val="none" w:sz="0" w:space="0" w:color="auto"/>
                <w:left w:val="none" w:sz="0" w:space="0" w:color="auto"/>
                <w:bottom w:val="none" w:sz="0" w:space="0" w:color="auto"/>
                <w:right w:val="none" w:sz="0" w:space="0" w:color="auto"/>
              </w:divBdr>
            </w:div>
            <w:div w:id="1113477670">
              <w:marLeft w:val="0"/>
              <w:marRight w:val="0"/>
              <w:marTop w:val="0"/>
              <w:marBottom w:val="0"/>
              <w:divBdr>
                <w:top w:val="none" w:sz="0" w:space="0" w:color="auto"/>
                <w:left w:val="none" w:sz="0" w:space="0" w:color="auto"/>
                <w:bottom w:val="none" w:sz="0" w:space="0" w:color="auto"/>
                <w:right w:val="none" w:sz="0" w:space="0" w:color="auto"/>
              </w:divBdr>
            </w:div>
          </w:divsChild>
        </w:div>
        <w:div w:id="574704934">
          <w:marLeft w:val="0"/>
          <w:marRight w:val="0"/>
          <w:marTop w:val="0"/>
          <w:marBottom w:val="0"/>
          <w:divBdr>
            <w:top w:val="none" w:sz="0" w:space="0" w:color="auto"/>
            <w:left w:val="none" w:sz="0" w:space="0" w:color="auto"/>
            <w:bottom w:val="none" w:sz="0" w:space="0" w:color="auto"/>
            <w:right w:val="none" w:sz="0" w:space="0" w:color="auto"/>
          </w:divBdr>
          <w:divsChild>
            <w:div w:id="72748609">
              <w:marLeft w:val="0"/>
              <w:marRight w:val="0"/>
              <w:marTop w:val="0"/>
              <w:marBottom w:val="0"/>
              <w:divBdr>
                <w:top w:val="none" w:sz="0" w:space="0" w:color="auto"/>
                <w:left w:val="none" w:sz="0" w:space="0" w:color="auto"/>
                <w:bottom w:val="none" w:sz="0" w:space="0" w:color="auto"/>
                <w:right w:val="none" w:sz="0" w:space="0" w:color="auto"/>
              </w:divBdr>
            </w:div>
            <w:div w:id="1482119371">
              <w:marLeft w:val="0"/>
              <w:marRight w:val="0"/>
              <w:marTop w:val="0"/>
              <w:marBottom w:val="0"/>
              <w:divBdr>
                <w:top w:val="none" w:sz="0" w:space="0" w:color="auto"/>
                <w:left w:val="none" w:sz="0" w:space="0" w:color="auto"/>
                <w:bottom w:val="none" w:sz="0" w:space="0" w:color="auto"/>
                <w:right w:val="none" w:sz="0" w:space="0" w:color="auto"/>
              </w:divBdr>
            </w:div>
            <w:div w:id="1947350421">
              <w:marLeft w:val="0"/>
              <w:marRight w:val="0"/>
              <w:marTop w:val="0"/>
              <w:marBottom w:val="0"/>
              <w:divBdr>
                <w:top w:val="none" w:sz="0" w:space="0" w:color="auto"/>
                <w:left w:val="none" w:sz="0" w:space="0" w:color="auto"/>
                <w:bottom w:val="none" w:sz="0" w:space="0" w:color="auto"/>
                <w:right w:val="none" w:sz="0" w:space="0" w:color="auto"/>
              </w:divBdr>
            </w:div>
          </w:divsChild>
        </w:div>
        <w:div w:id="1245719303">
          <w:marLeft w:val="0"/>
          <w:marRight w:val="0"/>
          <w:marTop w:val="0"/>
          <w:marBottom w:val="0"/>
          <w:divBdr>
            <w:top w:val="none" w:sz="0" w:space="0" w:color="auto"/>
            <w:left w:val="none" w:sz="0" w:space="0" w:color="auto"/>
            <w:bottom w:val="none" w:sz="0" w:space="0" w:color="auto"/>
            <w:right w:val="none" w:sz="0" w:space="0" w:color="auto"/>
          </w:divBdr>
          <w:divsChild>
            <w:div w:id="2866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430">
      <w:bodyDiv w:val="1"/>
      <w:marLeft w:val="0"/>
      <w:marRight w:val="0"/>
      <w:marTop w:val="0"/>
      <w:marBottom w:val="0"/>
      <w:divBdr>
        <w:top w:val="none" w:sz="0" w:space="0" w:color="auto"/>
        <w:left w:val="none" w:sz="0" w:space="0" w:color="auto"/>
        <w:bottom w:val="none" w:sz="0" w:space="0" w:color="auto"/>
        <w:right w:val="none" w:sz="0" w:space="0" w:color="auto"/>
      </w:divBdr>
      <w:divsChild>
        <w:div w:id="99185973">
          <w:marLeft w:val="0"/>
          <w:marRight w:val="0"/>
          <w:marTop w:val="0"/>
          <w:marBottom w:val="0"/>
          <w:divBdr>
            <w:top w:val="none" w:sz="0" w:space="0" w:color="auto"/>
            <w:left w:val="none" w:sz="0" w:space="0" w:color="auto"/>
            <w:bottom w:val="none" w:sz="0" w:space="0" w:color="auto"/>
            <w:right w:val="none" w:sz="0" w:space="0" w:color="auto"/>
          </w:divBdr>
          <w:divsChild>
            <w:div w:id="19012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publications/i/item/WHO-2019-nCoV-Corticosteroids-2020.1" TargetMode="External"/><Relationship Id="rId5" Type="http://schemas.openxmlformats.org/officeDocument/2006/relationships/hyperlink" Target="https://www.mp.pl/covid19/leczenie/245776,glikokortykosteroidy-w-leczeniu-covid-19-zalecenia-wh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6589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3</cp:revision>
  <dcterms:created xsi:type="dcterms:W3CDTF">2020-09-20T14:34:00Z</dcterms:created>
  <dcterms:modified xsi:type="dcterms:W3CDTF">2020-09-20T14:36:00Z</dcterms:modified>
</cp:coreProperties>
</file>