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BED" w:rsidRPr="00993BED" w:rsidRDefault="00993BED" w:rsidP="00993BED">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pl-PL"/>
        </w:rPr>
      </w:pPr>
      <w:r w:rsidRPr="00993BED">
        <w:rPr>
          <w:rFonts w:ascii="Times New Roman" w:eastAsia="Times New Roman" w:hAnsi="Times New Roman" w:cs="Times New Roman"/>
          <w:b/>
          <w:bCs/>
          <w:color w:val="000000"/>
          <w:kern w:val="36"/>
          <w:sz w:val="48"/>
          <w:szCs w:val="48"/>
          <w:lang w:eastAsia="pl-PL"/>
        </w:rPr>
        <w:t>Leczenie COVID-19 w świetle aktualnych wytycznych</w:t>
      </w:r>
    </w:p>
    <w:p w:rsidR="00993BED" w:rsidRPr="00993BED" w:rsidRDefault="00993BED" w:rsidP="00993BED">
      <w:pPr>
        <w:shd w:val="clear" w:color="auto" w:fill="FFFFFF"/>
        <w:spacing w:after="0" w:line="240" w:lineRule="auto"/>
        <w:rPr>
          <w:rFonts w:ascii="Verdana" w:eastAsia="Times New Roman" w:hAnsi="Verdana" w:cs="Times New Roman"/>
          <w:color w:val="333333"/>
          <w:sz w:val="18"/>
          <w:szCs w:val="18"/>
          <w:lang w:eastAsia="pl-PL"/>
        </w:rPr>
      </w:pPr>
      <w:r w:rsidRPr="00993BED">
        <w:rPr>
          <w:rFonts w:ascii="Verdana" w:eastAsia="Times New Roman" w:hAnsi="Verdana" w:cs="Times New Roman"/>
          <w:b/>
          <w:bCs/>
          <w:color w:val="333333"/>
          <w:sz w:val="18"/>
          <w:szCs w:val="18"/>
          <w:lang w:eastAsia="pl-PL"/>
        </w:rPr>
        <w:t>Oceń: </w:t>
      </w:r>
    </w:p>
    <w:p w:rsidR="00993BED" w:rsidRPr="00993BED" w:rsidRDefault="00993BED" w:rsidP="00993BED">
      <w:pPr>
        <w:shd w:val="clear" w:color="auto" w:fill="FFFFFF"/>
        <w:spacing w:after="0" w:line="240" w:lineRule="auto"/>
        <w:rPr>
          <w:rFonts w:ascii="Verdana" w:eastAsia="Times New Roman" w:hAnsi="Verdana" w:cs="Times New Roman"/>
          <w:color w:val="333333"/>
          <w:sz w:val="18"/>
          <w:szCs w:val="18"/>
          <w:lang w:eastAsia="pl-PL"/>
        </w:rPr>
      </w:pPr>
      <w:r w:rsidRPr="00993BED">
        <w:rPr>
          <w:rFonts w:ascii="Verdana" w:eastAsia="Times New Roman" w:hAnsi="Verdana" w:cs="Times New Roman"/>
          <w:color w:val="333333"/>
          <w:sz w:val="18"/>
          <w:szCs w:val="18"/>
          <w:lang w:eastAsia="pl-PL"/>
        </w:rPr>
        <w:t> (</w:t>
      </w:r>
      <w:r w:rsidRPr="00993BED">
        <w:rPr>
          <w:rFonts w:ascii="Verdana" w:eastAsia="Times New Roman" w:hAnsi="Verdana" w:cs="Times New Roman"/>
          <w:b/>
          <w:bCs/>
          <w:color w:val="333333"/>
          <w:sz w:val="18"/>
          <w:szCs w:val="18"/>
          <w:lang w:eastAsia="pl-PL"/>
        </w:rPr>
        <w:t>4.21</w:t>
      </w:r>
      <w:r w:rsidRPr="00993BED">
        <w:rPr>
          <w:rFonts w:ascii="Verdana" w:eastAsia="Times New Roman" w:hAnsi="Verdana" w:cs="Times New Roman"/>
          <w:color w:val="333333"/>
          <w:sz w:val="18"/>
          <w:szCs w:val="18"/>
          <w:lang w:eastAsia="pl-PL"/>
        </w:rPr>
        <w:t>/5 z </w:t>
      </w:r>
      <w:r w:rsidRPr="00993BED">
        <w:rPr>
          <w:rFonts w:ascii="Verdana" w:eastAsia="Times New Roman" w:hAnsi="Verdana" w:cs="Times New Roman"/>
          <w:b/>
          <w:bCs/>
          <w:color w:val="333333"/>
          <w:sz w:val="18"/>
          <w:szCs w:val="18"/>
          <w:lang w:eastAsia="pl-PL"/>
        </w:rPr>
        <w:t>14</w:t>
      </w:r>
      <w:r w:rsidRPr="00993BED">
        <w:rPr>
          <w:rFonts w:ascii="Verdana" w:eastAsia="Times New Roman" w:hAnsi="Verdana" w:cs="Times New Roman"/>
          <w:color w:val="333333"/>
          <w:sz w:val="18"/>
          <w:szCs w:val="18"/>
          <w:lang w:eastAsia="pl-PL"/>
        </w:rPr>
        <w:t> ocen)</w:t>
      </w:r>
    </w:p>
    <w:p w:rsidR="00993BED" w:rsidRPr="00993BED" w:rsidRDefault="00993BED" w:rsidP="00993BED">
      <w:pPr>
        <w:shd w:val="clear" w:color="auto" w:fill="666666"/>
        <w:spacing w:after="0" w:line="240" w:lineRule="auto"/>
        <w:rPr>
          <w:rFonts w:ascii="Verdana" w:eastAsia="Times New Roman" w:hAnsi="Verdana" w:cs="Times New Roman"/>
          <w:color w:val="333333"/>
          <w:sz w:val="18"/>
          <w:szCs w:val="18"/>
          <w:lang w:eastAsia="pl-PL"/>
        </w:rPr>
      </w:pPr>
      <w:hyperlink r:id="rId4" w:anchor="komentarze" w:history="1">
        <w:r w:rsidRPr="00993BED">
          <w:rPr>
            <w:rFonts w:ascii="Verdana" w:eastAsia="Times New Roman" w:hAnsi="Verdana" w:cs="Times New Roman"/>
            <w:color w:val="FFFFFF"/>
            <w:sz w:val="18"/>
            <w:szCs w:val="18"/>
            <w:shd w:val="clear" w:color="auto" w:fill="666666"/>
            <w:lang w:eastAsia="pl-PL"/>
          </w:rPr>
          <w:t>zobacz komentarze</w:t>
        </w:r>
      </w:hyperlink>
    </w:p>
    <w:p w:rsidR="00993BED" w:rsidRPr="00993BED" w:rsidRDefault="00993BED" w:rsidP="00993BED">
      <w:pPr>
        <w:shd w:val="clear" w:color="auto" w:fill="FFFFFF"/>
        <w:spacing w:after="0" w:line="240" w:lineRule="auto"/>
        <w:rPr>
          <w:rFonts w:ascii="Verdana" w:eastAsia="Times New Roman" w:hAnsi="Verdana" w:cs="Times New Roman"/>
          <w:color w:val="777777"/>
          <w:sz w:val="18"/>
          <w:szCs w:val="18"/>
          <w:lang w:eastAsia="pl-PL"/>
        </w:rPr>
      </w:pPr>
      <w:r w:rsidRPr="00993BED">
        <w:rPr>
          <w:rFonts w:ascii="Verdana" w:eastAsia="Times New Roman" w:hAnsi="Verdana" w:cs="Times New Roman"/>
          <w:color w:val="777777"/>
          <w:sz w:val="18"/>
          <w:szCs w:val="18"/>
          <w:lang w:eastAsia="pl-PL"/>
        </w:rPr>
        <w:t>10.11.2020</w:t>
      </w:r>
    </w:p>
    <w:p w:rsidR="00993BED" w:rsidRPr="00993BED" w:rsidRDefault="00993BED" w:rsidP="00993BED">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993BED">
        <w:rPr>
          <w:rFonts w:ascii="Arial" w:eastAsia="Times New Roman" w:hAnsi="Arial" w:cs="Arial"/>
          <w:b/>
          <w:bCs/>
          <w:color w:val="333333"/>
          <w:sz w:val="15"/>
          <w:szCs w:val="15"/>
          <w:lang w:eastAsia="pl-PL"/>
        </w:rPr>
        <w:t>dr n. med. Weronika Rymer</w:t>
      </w:r>
      <w:r w:rsidRPr="00993BED">
        <w:rPr>
          <w:rFonts w:ascii="Arial" w:eastAsia="Times New Roman" w:hAnsi="Arial" w:cs="Arial"/>
          <w:b/>
          <w:bCs/>
          <w:color w:val="333333"/>
          <w:sz w:val="12"/>
          <w:szCs w:val="12"/>
          <w:vertAlign w:val="superscript"/>
          <w:lang w:eastAsia="pl-PL"/>
        </w:rPr>
        <w:t>1</w:t>
      </w:r>
      <w:r w:rsidRPr="00993BED">
        <w:rPr>
          <w:rFonts w:ascii="Arial" w:eastAsia="Times New Roman" w:hAnsi="Arial" w:cs="Arial"/>
          <w:b/>
          <w:bCs/>
          <w:color w:val="333333"/>
          <w:sz w:val="15"/>
          <w:szCs w:val="15"/>
          <w:lang w:eastAsia="pl-PL"/>
        </w:rPr>
        <w:t>, dr n. med. Agnieszka Wroczyńska</w:t>
      </w:r>
      <w:r w:rsidRPr="00993BED">
        <w:rPr>
          <w:rFonts w:ascii="Arial" w:eastAsia="Times New Roman" w:hAnsi="Arial" w:cs="Arial"/>
          <w:b/>
          <w:bCs/>
          <w:color w:val="333333"/>
          <w:sz w:val="12"/>
          <w:szCs w:val="12"/>
          <w:vertAlign w:val="superscript"/>
          <w:lang w:eastAsia="pl-PL"/>
        </w:rPr>
        <w:t>2</w:t>
      </w:r>
      <w:r w:rsidRPr="00993BED">
        <w:rPr>
          <w:rFonts w:ascii="Arial" w:eastAsia="Times New Roman" w:hAnsi="Arial" w:cs="Arial"/>
          <w:b/>
          <w:bCs/>
          <w:color w:val="333333"/>
          <w:sz w:val="15"/>
          <w:szCs w:val="15"/>
          <w:lang w:eastAsia="pl-PL"/>
        </w:rPr>
        <w:t xml:space="preserve">, prof. Roman </w:t>
      </w:r>
      <w:proofErr w:type="spellStart"/>
      <w:r w:rsidRPr="00993BED">
        <w:rPr>
          <w:rFonts w:ascii="Arial" w:eastAsia="Times New Roman" w:hAnsi="Arial" w:cs="Arial"/>
          <w:b/>
          <w:bCs/>
          <w:color w:val="333333"/>
          <w:sz w:val="15"/>
          <w:szCs w:val="15"/>
          <w:lang w:eastAsia="pl-PL"/>
        </w:rPr>
        <w:t>Jaeschke</w:t>
      </w:r>
      <w:proofErr w:type="spellEnd"/>
      <w:r w:rsidRPr="00993BED">
        <w:rPr>
          <w:rFonts w:ascii="Arial" w:eastAsia="Times New Roman" w:hAnsi="Arial" w:cs="Arial"/>
          <w:b/>
          <w:bCs/>
          <w:color w:val="333333"/>
          <w:sz w:val="15"/>
          <w:szCs w:val="15"/>
          <w:lang w:eastAsia="pl-PL"/>
        </w:rPr>
        <w:t xml:space="preserve"> MD MSc</w:t>
      </w:r>
      <w:r w:rsidRPr="00993BED">
        <w:rPr>
          <w:rFonts w:ascii="Arial" w:eastAsia="Times New Roman" w:hAnsi="Arial" w:cs="Arial"/>
          <w:b/>
          <w:bCs/>
          <w:color w:val="333333"/>
          <w:sz w:val="12"/>
          <w:szCs w:val="12"/>
          <w:vertAlign w:val="superscript"/>
          <w:lang w:eastAsia="pl-PL"/>
        </w:rPr>
        <w:t>3</w:t>
      </w:r>
      <w:r w:rsidRPr="00993BED">
        <w:rPr>
          <w:rFonts w:ascii="Arial" w:eastAsia="Times New Roman" w:hAnsi="Arial" w:cs="Arial"/>
          <w:b/>
          <w:bCs/>
          <w:color w:val="333333"/>
          <w:sz w:val="15"/>
          <w:szCs w:val="15"/>
          <w:lang w:eastAsia="pl-PL"/>
        </w:rPr>
        <w:t>, prof. dr hab. n. med. Wojciech Szczeklik</w:t>
      </w:r>
      <w:r w:rsidRPr="00993BED">
        <w:rPr>
          <w:rFonts w:ascii="Arial" w:eastAsia="Times New Roman" w:hAnsi="Arial" w:cs="Arial"/>
          <w:b/>
          <w:bCs/>
          <w:color w:val="333333"/>
          <w:sz w:val="12"/>
          <w:szCs w:val="12"/>
          <w:vertAlign w:val="superscript"/>
          <w:lang w:eastAsia="pl-PL"/>
        </w:rPr>
        <w:t>4</w:t>
      </w:r>
      <w:r w:rsidRPr="00993BED">
        <w:rPr>
          <w:rFonts w:ascii="Arial" w:eastAsia="Times New Roman" w:hAnsi="Arial" w:cs="Arial"/>
          <w:b/>
          <w:bCs/>
          <w:color w:val="333333"/>
          <w:sz w:val="15"/>
          <w:szCs w:val="15"/>
          <w:lang w:eastAsia="pl-PL"/>
        </w:rPr>
        <w:t>, dr n. med. Jacek Mrukowicz</w:t>
      </w:r>
      <w:r w:rsidRPr="00993BED">
        <w:rPr>
          <w:rFonts w:ascii="Arial" w:eastAsia="Times New Roman" w:hAnsi="Arial" w:cs="Arial"/>
          <w:b/>
          <w:bCs/>
          <w:color w:val="333333"/>
          <w:sz w:val="12"/>
          <w:szCs w:val="12"/>
          <w:vertAlign w:val="superscript"/>
          <w:lang w:eastAsia="pl-PL"/>
        </w:rPr>
        <w:t>1</w:t>
      </w:r>
      <w:r w:rsidRPr="00993BED">
        <w:rPr>
          <w:rFonts w:ascii="Arial" w:eastAsia="Times New Roman" w:hAnsi="Arial" w:cs="Arial"/>
          <w:b/>
          <w:bCs/>
          <w:color w:val="333333"/>
          <w:sz w:val="15"/>
          <w:szCs w:val="15"/>
          <w:lang w:eastAsia="pl-PL"/>
        </w:rPr>
        <w:br/>
      </w:r>
      <w:r w:rsidRPr="00993BED">
        <w:rPr>
          <w:rFonts w:ascii="Arial" w:eastAsia="Times New Roman" w:hAnsi="Arial" w:cs="Arial"/>
          <w:b/>
          <w:bCs/>
          <w:color w:val="333333"/>
          <w:sz w:val="12"/>
          <w:szCs w:val="12"/>
          <w:vertAlign w:val="superscript"/>
          <w:lang w:eastAsia="pl-PL"/>
        </w:rPr>
        <w:t>1</w:t>
      </w:r>
      <w:r w:rsidRPr="00993BED">
        <w:rPr>
          <w:rFonts w:ascii="Arial" w:eastAsia="Times New Roman" w:hAnsi="Arial" w:cs="Arial"/>
          <w:b/>
          <w:bCs/>
          <w:color w:val="333333"/>
          <w:sz w:val="15"/>
          <w:szCs w:val="15"/>
          <w:lang w:eastAsia="pl-PL"/>
        </w:rPr>
        <w:t xml:space="preserve"> Polski Instytut </w:t>
      </w:r>
      <w:proofErr w:type="spellStart"/>
      <w:r w:rsidRPr="00993BED">
        <w:rPr>
          <w:rFonts w:ascii="Arial" w:eastAsia="Times New Roman" w:hAnsi="Arial" w:cs="Arial"/>
          <w:b/>
          <w:bCs/>
          <w:color w:val="333333"/>
          <w:sz w:val="15"/>
          <w:szCs w:val="15"/>
          <w:lang w:eastAsia="pl-PL"/>
        </w:rPr>
        <w:t>Evidence</w:t>
      </w:r>
      <w:proofErr w:type="spellEnd"/>
      <w:r w:rsidRPr="00993BED">
        <w:rPr>
          <w:rFonts w:ascii="Arial" w:eastAsia="Times New Roman" w:hAnsi="Arial" w:cs="Arial"/>
          <w:b/>
          <w:bCs/>
          <w:color w:val="333333"/>
          <w:sz w:val="15"/>
          <w:szCs w:val="15"/>
          <w:lang w:eastAsia="pl-PL"/>
        </w:rPr>
        <w:t xml:space="preserve"> </w:t>
      </w:r>
      <w:proofErr w:type="spellStart"/>
      <w:r w:rsidRPr="00993BED">
        <w:rPr>
          <w:rFonts w:ascii="Arial" w:eastAsia="Times New Roman" w:hAnsi="Arial" w:cs="Arial"/>
          <w:b/>
          <w:bCs/>
          <w:color w:val="333333"/>
          <w:sz w:val="15"/>
          <w:szCs w:val="15"/>
          <w:lang w:eastAsia="pl-PL"/>
        </w:rPr>
        <w:t>Based</w:t>
      </w:r>
      <w:proofErr w:type="spellEnd"/>
      <w:r w:rsidRPr="00993BED">
        <w:rPr>
          <w:rFonts w:ascii="Arial" w:eastAsia="Times New Roman" w:hAnsi="Arial" w:cs="Arial"/>
          <w:b/>
          <w:bCs/>
          <w:color w:val="333333"/>
          <w:sz w:val="15"/>
          <w:szCs w:val="15"/>
          <w:lang w:eastAsia="pl-PL"/>
        </w:rPr>
        <w:t xml:space="preserve"> </w:t>
      </w:r>
      <w:proofErr w:type="spellStart"/>
      <w:r w:rsidRPr="00993BED">
        <w:rPr>
          <w:rFonts w:ascii="Arial" w:eastAsia="Times New Roman" w:hAnsi="Arial" w:cs="Arial"/>
          <w:b/>
          <w:bCs/>
          <w:color w:val="333333"/>
          <w:sz w:val="15"/>
          <w:szCs w:val="15"/>
          <w:lang w:eastAsia="pl-PL"/>
        </w:rPr>
        <w:t>Medicine</w:t>
      </w:r>
      <w:proofErr w:type="spellEnd"/>
      <w:r w:rsidRPr="00993BED">
        <w:rPr>
          <w:rFonts w:ascii="Arial" w:eastAsia="Times New Roman" w:hAnsi="Arial" w:cs="Arial"/>
          <w:b/>
          <w:bCs/>
          <w:color w:val="333333"/>
          <w:sz w:val="15"/>
          <w:szCs w:val="15"/>
          <w:lang w:eastAsia="pl-PL"/>
        </w:rPr>
        <w:t>, Kraków</w:t>
      </w:r>
      <w:r w:rsidRPr="00993BED">
        <w:rPr>
          <w:rFonts w:ascii="Arial" w:eastAsia="Times New Roman" w:hAnsi="Arial" w:cs="Arial"/>
          <w:b/>
          <w:bCs/>
          <w:color w:val="333333"/>
          <w:sz w:val="15"/>
          <w:szCs w:val="15"/>
          <w:lang w:eastAsia="pl-PL"/>
        </w:rPr>
        <w:br/>
      </w:r>
      <w:r w:rsidRPr="00993BED">
        <w:rPr>
          <w:rFonts w:ascii="Arial" w:eastAsia="Times New Roman" w:hAnsi="Arial" w:cs="Arial"/>
          <w:b/>
          <w:bCs/>
          <w:color w:val="333333"/>
          <w:sz w:val="12"/>
          <w:szCs w:val="12"/>
          <w:vertAlign w:val="superscript"/>
          <w:lang w:eastAsia="pl-PL"/>
        </w:rPr>
        <w:t>2</w:t>
      </w:r>
      <w:r w:rsidRPr="00993BED">
        <w:rPr>
          <w:rFonts w:ascii="Arial" w:eastAsia="Times New Roman" w:hAnsi="Arial" w:cs="Arial"/>
          <w:b/>
          <w:bCs/>
          <w:color w:val="333333"/>
          <w:sz w:val="15"/>
          <w:szCs w:val="15"/>
          <w:lang w:eastAsia="pl-PL"/>
        </w:rPr>
        <w:t> Klinika Chorób Tropikalnych i Pasożytniczych, Instytut Medycyny Morskiej i Tropikalnej w Gdyni, Gdański Uniwersytet Medyczny</w:t>
      </w:r>
      <w:r w:rsidRPr="00993BED">
        <w:rPr>
          <w:rFonts w:ascii="Arial" w:eastAsia="Times New Roman" w:hAnsi="Arial" w:cs="Arial"/>
          <w:b/>
          <w:bCs/>
          <w:color w:val="333333"/>
          <w:sz w:val="15"/>
          <w:szCs w:val="15"/>
          <w:lang w:eastAsia="pl-PL"/>
        </w:rPr>
        <w:br/>
      </w:r>
      <w:r w:rsidRPr="00993BED">
        <w:rPr>
          <w:rFonts w:ascii="Arial" w:eastAsia="Times New Roman" w:hAnsi="Arial" w:cs="Arial"/>
          <w:b/>
          <w:bCs/>
          <w:color w:val="333333"/>
          <w:sz w:val="12"/>
          <w:szCs w:val="12"/>
          <w:vertAlign w:val="superscript"/>
          <w:lang w:eastAsia="pl-PL"/>
        </w:rPr>
        <w:t>3</w:t>
      </w:r>
      <w:r w:rsidRPr="00993BED">
        <w:rPr>
          <w:rFonts w:ascii="Arial" w:eastAsia="Times New Roman" w:hAnsi="Arial" w:cs="Arial"/>
          <w:b/>
          <w:bCs/>
          <w:color w:val="333333"/>
          <w:sz w:val="15"/>
          <w:szCs w:val="15"/>
          <w:lang w:eastAsia="pl-PL"/>
        </w:rPr>
        <w:t> </w:t>
      </w:r>
      <w:proofErr w:type="spellStart"/>
      <w:r w:rsidRPr="00993BED">
        <w:rPr>
          <w:rFonts w:ascii="Arial" w:eastAsia="Times New Roman" w:hAnsi="Arial" w:cs="Arial"/>
          <w:b/>
          <w:bCs/>
          <w:color w:val="333333"/>
          <w:sz w:val="15"/>
          <w:szCs w:val="15"/>
          <w:lang w:eastAsia="pl-PL"/>
        </w:rPr>
        <w:t>Department</w:t>
      </w:r>
      <w:proofErr w:type="spellEnd"/>
      <w:r w:rsidRPr="00993BED">
        <w:rPr>
          <w:rFonts w:ascii="Arial" w:eastAsia="Times New Roman" w:hAnsi="Arial" w:cs="Arial"/>
          <w:b/>
          <w:bCs/>
          <w:color w:val="333333"/>
          <w:sz w:val="15"/>
          <w:szCs w:val="15"/>
          <w:lang w:eastAsia="pl-PL"/>
        </w:rPr>
        <w:t xml:space="preserve"> of </w:t>
      </w:r>
      <w:proofErr w:type="spellStart"/>
      <w:r w:rsidRPr="00993BED">
        <w:rPr>
          <w:rFonts w:ascii="Arial" w:eastAsia="Times New Roman" w:hAnsi="Arial" w:cs="Arial"/>
          <w:b/>
          <w:bCs/>
          <w:color w:val="333333"/>
          <w:sz w:val="15"/>
          <w:szCs w:val="15"/>
          <w:lang w:eastAsia="pl-PL"/>
        </w:rPr>
        <w:t>Medicine</w:t>
      </w:r>
      <w:proofErr w:type="spellEnd"/>
      <w:r w:rsidRPr="00993BED">
        <w:rPr>
          <w:rFonts w:ascii="Arial" w:eastAsia="Times New Roman" w:hAnsi="Arial" w:cs="Arial"/>
          <w:b/>
          <w:bCs/>
          <w:color w:val="333333"/>
          <w:sz w:val="15"/>
          <w:szCs w:val="15"/>
          <w:lang w:eastAsia="pl-PL"/>
        </w:rPr>
        <w:t xml:space="preserve">, </w:t>
      </w:r>
      <w:proofErr w:type="spellStart"/>
      <w:r w:rsidRPr="00993BED">
        <w:rPr>
          <w:rFonts w:ascii="Arial" w:eastAsia="Times New Roman" w:hAnsi="Arial" w:cs="Arial"/>
          <w:b/>
          <w:bCs/>
          <w:color w:val="333333"/>
          <w:sz w:val="15"/>
          <w:szCs w:val="15"/>
          <w:lang w:eastAsia="pl-PL"/>
        </w:rPr>
        <w:t>McMaster</w:t>
      </w:r>
      <w:proofErr w:type="spellEnd"/>
      <w:r w:rsidRPr="00993BED">
        <w:rPr>
          <w:rFonts w:ascii="Arial" w:eastAsia="Times New Roman" w:hAnsi="Arial" w:cs="Arial"/>
          <w:b/>
          <w:bCs/>
          <w:color w:val="333333"/>
          <w:sz w:val="15"/>
          <w:szCs w:val="15"/>
          <w:lang w:eastAsia="pl-PL"/>
        </w:rPr>
        <w:t xml:space="preserve"> University, Hamilton, Ontario, Kanada</w:t>
      </w:r>
      <w:r w:rsidRPr="00993BED">
        <w:rPr>
          <w:rFonts w:ascii="Arial" w:eastAsia="Times New Roman" w:hAnsi="Arial" w:cs="Arial"/>
          <w:b/>
          <w:bCs/>
          <w:color w:val="333333"/>
          <w:sz w:val="15"/>
          <w:szCs w:val="15"/>
          <w:lang w:eastAsia="pl-PL"/>
        </w:rPr>
        <w:br/>
      </w:r>
      <w:r w:rsidRPr="00993BED">
        <w:rPr>
          <w:rFonts w:ascii="Arial" w:eastAsia="Times New Roman" w:hAnsi="Arial" w:cs="Arial"/>
          <w:b/>
          <w:bCs/>
          <w:color w:val="333333"/>
          <w:sz w:val="12"/>
          <w:szCs w:val="12"/>
          <w:vertAlign w:val="superscript"/>
          <w:lang w:eastAsia="pl-PL"/>
        </w:rPr>
        <w:t>4</w:t>
      </w:r>
      <w:r w:rsidRPr="00993BED">
        <w:rPr>
          <w:rFonts w:ascii="Arial" w:eastAsia="Times New Roman" w:hAnsi="Arial" w:cs="Arial"/>
          <w:b/>
          <w:bCs/>
          <w:color w:val="333333"/>
          <w:sz w:val="15"/>
          <w:szCs w:val="15"/>
          <w:lang w:eastAsia="pl-PL"/>
        </w:rPr>
        <w:t xml:space="preserve"> Klinika Intensywnej Terapii i Anestezjologii, Wojskowy Szpital Kliniczny z Polikliniką SPZOZ w Krakowie, Zakład Intensywnej Terapii i Medycyny </w:t>
      </w:r>
      <w:proofErr w:type="spellStart"/>
      <w:r w:rsidRPr="00993BED">
        <w:rPr>
          <w:rFonts w:ascii="Arial" w:eastAsia="Times New Roman" w:hAnsi="Arial" w:cs="Arial"/>
          <w:b/>
          <w:bCs/>
          <w:color w:val="333333"/>
          <w:sz w:val="15"/>
          <w:szCs w:val="15"/>
          <w:lang w:eastAsia="pl-PL"/>
        </w:rPr>
        <w:t>Okołozabiegowej</w:t>
      </w:r>
      <w:proofErr w:type="spellEnd"/>
      <w:r w:rsidRPr="00993BED">
        <w:rPr>
          <w:rFonts w:ascii="Arial" w:eastAsia="Times New Roman" w:hAnsi="Arial" w:cs="Arial"/>
          <w:b/>
          <w:bCs/>
          <w:color w:val="333333"/>
          <w:sz w:val="15"/>
          <w:szCs w:val="15"/>
          <w:lang w:eastAsia="pl-PL"/>
        </w:rPr>
        <w:t xml:space="preserve">, Uniwersytet Jagielloński Collegium </w:t>
      </w:r>
      <w:proofErr w:type="spellStart"/>
      <w:r w:rsidRPr="00993BED">
        <w:rPr>
          <w:rFonts w:ascii="Arial" w:eastAsia="Times New Roman" w:hAnsi="Arial" w:cs="Arial"/>
          <w:b/>
          <w:bCs/>
          <w:color w:val="333333"/>
          <w:sz w:val="15"/>
          <w:szCs w:val="15"/>
          <w:lang w:eastAsia="pl-PL"/>
        </w:rPr>
        <w:t>Medicum</w:t>
      </w:r>
      <w:proofErr w:type="spellEnd"/>
      <w:r w:rsidRPr="00993BED">
        <w:rPr>
          <w:rFonts w:ascii="Arial" w:eastAsia="Times New Roman" w:hAnsi="Arial" w:cs="Arial"/>
          <w:b/>
          <w:bCs/>
          <w:color w:val="333333"/>
          <w:sz w:val="15"/>
          <w:szCs w:val="15"/>
          <w:lang w:eastAsia="pl-PL"/>
        </w:rPr>
        <w:t xml:space="preserve"> w Krakowie</w:t>
      </w:r>
    </w:p>
    <w:p w:rsidR="00993BED" w:rsidRPr="00993BED" w:rsidRDefault="00993BED" w:rsidP="00993BED">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993BED">
        <w:rPr>
          <w:rFonts w:ascii="Arial" w:eastAsia="Times New Roman" w:hAnsi="Arial" w:cs="Arial"/>
          <w:b/>
          <w:bCs/>
          <w:color w:val="333333"/>
          <w:sz w:val="15"/>
          <w:szCs w:val="15"/>
          <w:lang w:eastAsia="pl-PL"/>
        </w:rPr>
        <w:t>Jak cytować</w:t>
      </w:r>
      <w:r w:rsidRPr="00993BED">
        <w:rPr>
          <w:rFonts w:ascii="Arial" w:eastAsia="Times New Roman" w:hAnsi="Arial" w:cs="Arial"/>
          <w:color w:val="333333"/>
          <w:sz w:val="15"/>
          <w:szCs w:val="15"/>
          <w:lang w:eastAsia="pl-PL"/>
        </w:rPr>
        <w:t xml:space="preserve">: Rymer W., Wroczyńska A., </w:t>
      </w:r>
      <w:proofErr w:type="spellStart"/>
      <w:r w:rsidRPr="00993BED">
        <w:rPr>
          <w:rFonts w:ascii="Arial" w:eastAsia="Times New Roman" w:hAnsi="Arial" w:cs="Arial"/>
          <w:color w:val="333333"/>
          <w:sz w:val="15"/>
          <w:szCs w:val="15"/>
          <w:lang w:eastAsia="pl-PL"/>
        </w:rPr>
        <w:t>Jaeschke</w:t>
      </w:r>
      <w:proofErr w:type="spellEnd"/>
      <w:r w:rsidRPr="00993BED">
        <w:rPr>
          <w:rFonts w:ascii="Arial" w:eastAsia="Times New Roman" w:hAnsi="Arial" w:cs="Arial"/>
          <w:color w:val="333333"/>
          <w:sz w:val="15"/>
          <w:szCs w:val="15"/>
          <w:lang w:eastAsia="pl-PL"/>
        </w:rPr>
        <w:t xml:space="preserve"> R., Szczeklik W., </w:t>
      </w:r>
      <w:proofErr w:type="spellStart"/>
      <w:r w:rsidRPr="00993BED">
        <w:rPr>
          <w:rFonts w:ascii="Arial" w:eastAsia="Times New Roman" w:hAnsi="Arial" w:cs="Arial"/>
          <w:color w:val="333333"/>
          <w:sz w:val="15"/>
          <w:szCs w:val="15"/>
          <w:lang w:eastAsia="pl-PL"/>
        </w:rPr>
        <w:t>Mrukowicz</w:t>
      </w:r>
      <w:proofErr w:type="spellEnd"/>
      <w:r w:rsidRPr="00993BED">
        <w:rPr>
          <w:rFonts w:ascii="Arial" w:eastAsia="Times New Roman" w:hAnsi="Arial" w:cs="Arial"/>
          <w:color w:val="333333"/>
          <w:sz w:val="15"/>
          <w:szCs w:val="15"/>
          <w:lang w:eastAsia="pl-PL"/>
        </w:rPr>
        <w:t xml:space="preserve"> J.: Komentarz. W: </w:t>
      </w:r>
      <w:proofErr w:type="spellStart"/>
      <w:r w:rsidRPr="00993BED">
        <w:rPr>
          <w:rFonts w:ascii="Arial" w:eastAsia="Times New Roman" w:hAnsi="Arial" w:cs="Arial"/>
          <w:color w:val="333333"/>
          <w:sz w:val="15"/>
          <w:szCs w:val="15"/>
          <w:lang w:eastAsia="pl-PL"/>
        </w:rPr>
        <w:t>Flisiak</w:t>
      </w:r>
      <w:proofErr w:type="spellEnd"/>
      <w:r w:rsidRPr="00993BED">
        <w:rPr>
          <w:rFonts w:ascii="Arial" w:eastAsia="Times New Roman" w:hAnsi="Arial" w:cs="Arial"/>
          <w:color w:val="333333"/>
          <w:sz w:val="15"/>
          <w:szCs w:val="15"/>
          <w:lang w:eastAsia="pl-PL"/>
        </w:rPr>
        <w:t xml:space="preserve"> R., Parczewski M., </w:t>
      </w:r>
      <w:proofErr w:type="spellStart"/>
      <w:r w:rsidRPr="00993BED">
        <w:rPr>
          <w:rFonts w:ascii="Arial" w:eastAsia="Times New Roman" w:hAnsi="Arial" w:cs="Arial"/>
          <w:color w:val="333333"/>
          <w:sz w:val="15"/>
          <w:szCs w:val="15"/>
          <w:lang w:eastAsia="pl-PL"/>
        </w:rPr>
        <w:t>Horban</w:t>
      </w:r>
      <w:proofErr w:type="spellEnd"/>
      <w:r w:rsidRPr="00993BED">
        <w:rPr>
          <w:rFonts w:ascii="Arial" w:eastAsia="Times New Roman" w:hAnsi="Arial" w:cs="Arial"/>
          <w:color w:val="333333"/>
          <w:sz w:val="15"/>
          <w:szCs w:val="15"/>
          <w:lang w:eastAsia="pl-PL"/>
        </w:rPr>
        <w:t xml:space="preserve"> A., Jaroszewicz J., </w:t>
      </w:r>
      <w:proofErr w:type="spellStart"/>
      <w:r w:rsidRPr="00993BED">
        <w:rPr>
          <w:rFonts w:ascii="Arial" w:eastAsia="Times New Roman" w:hAnsi="Arial" w:cs="Arial"/>
          <w:color w:val="333333"/>
          <w:sz w:val="15"/>
          <w:szCs w:val="15"/>
          <w:lang w:eastAsia="pl-PL"/>
        </w:rPr>
        <w:t>Kozielewicz</w:t>
      </w:r>
      <w:proofErr w:type="spellEnd"/>
      <w:r w:rsidRPr="00993BED">
        <w:rPr>
          <w:rFonts w:ascii="Arial" w:eastAsia="Times New Roman" w:hAnsi="Arial" w:cs="Arial"/>
          <w:color w:val="333333"/>
          <w:sz w:val="15"/>
          <w:szCs w:val="15"/>
          <w:lang w:eastAsia="pl-PL"/>
        </w:rPr>
        <w:t xml:space="preserve"> D., Pawłowska M., Piekarska A., Simon K., Tomasiewicz K., Zarębska-Michaluk D.: Zalecenia diagnostyki i terapii zakażeń SARS-CoV-2 Polskiego Towarzystwa Epidemiologów i Lekarzy Chorób Zakaźnych z dnia 13 października 2020 roku. Aneks 2 do rekomendacji z 31 marca 2020 roku. Med. </w:t>
      </w:r>
      <w:proofErr w:type="spellStart"/>
      <w:r w:rsidRPr="00993BED">
        <w:rPr>
          <w:rFonts w:ascii="Arial" w:eastAsia="Times New Roman" w:hAnsi="Arial" w:cs="Arial"/>
          <w:color w:val="333333"/>
          <w:sz w:val="15"/>
          <w:szCs w:val="15"/>
          <w:lang w:eastAsia="pl-PL"/>
        </w:rPr>
        <w:t>Prakt</w:t>
      </w:r>
      <w:proofErr w:type="spellEnd"/>
      <w:r w:rsidRPr="00993BED">
        <w:rPr>
          <w:rFonts w:ascii="Arial" w:eastAsia="Times New Roman" w:hAnsi="Arial" w:cs="Arial"/>
          <w:color w:val="333333"/>
          <w:sz w:val="15"/>
          <w:szCs w:val="15"/>
          <w:lang w:eastAsia="pl-PL"/>
        </w:rPr>
        <w:t>., 2020; 11: 60–69</w:t>
      </w:r>
    </w:p>
    <w:p w:rsidR="00993BED" w:rsidRPr="00993BED" w:rsidRDefault="00993BED" w:rsidP="00993BED">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993BED">
        <w:rPr>
          <w:rFonts w:ascii="Arial" w:eastAsia="Times New Roman" w:hAnsi="Arial" w:cs="Arial"/>
          <w:b/>
          <w:bCs/>
          <w:color w:val="333333"/>
          <w:sz w:val="15"/>
          <w:szCs w:val="15"/>
          <w:lang w:eastAsia="pl-PL"/>
        </w:rPr>
        <w:t>Skróty</w:t>
      </w:r>
      <w:r w:rsidRPr="00993BED">
        <w:rPr>
          <w:rFonts w:ascii="Arial" w:eastAsia="Times New Roman" w:hAnsi="Arial" w:cs="Arial"/>
          <w:color w:val="333333"/>
          <w:sz w:val="15"/>
          <w:szCs w:val="15"/>
          <w:lang w:eastAsia="pl-PL"/>
        </w:rPr>
        <w:t>: COVID-19 (</w:t>
      </w:r>
      <w:proofErr w:type="spellStart"/>
      <w:r w:rsidRPr="00993BED">
        <w:rPr>
          <w:rFonts w:ascii="Arial" w:eastAsia="Times New Roman" w:hAnsi="Arial" w:cs="Arial"/>
          <w:i/>
          <w:iCs/>
          <w:color w:val="333333"/>
          <w:sz w:val="15"/>
          <w:szCs w:val="15"/>
          <w:lang w:eastAsia="pl-PL"/>
        </w:rPr>
        <w:t>coronavirus</w:t>
      </w:r>
      <w:proofErr w:type="spellEnd"/>
      <w:r w:rsidRPr="00993BED">
        <w:rPr>
          <w:rFonts w:ascii="Arial" w:eastAsia="Times New Roman" w:hAnsi="Arial" w:cs="Arial"/>
          <w:i/>
          <w:iCs/>
          <w:color w:val="333333"/>
          <w:sz w:val="15"/>
          <w:szCs w:val="15"/>
          <w:lang w:eastAsia="pl-PL"/>
        </w:rPr>
        <w:t xml:space="preserve"> </w:t>
      </w:r>
      <w:proofErr w:type="spellStart"/>
      <w:r w:rsidRPr="00993BED">
        <w:rPr>
          <w:rFonts w:ascii="Arial" w:eastAsia="Times New Roman" w:hAnsi="Arial" w:cs="Arial"/>
          <w:i/>
          <w:iCs/>
          <w:color w:val="333333"/>
          <w:sz w:val="15"/>
          <w:szCs w:val="15"/>
          <w:lang w:eastAsia="pl-PL"/>
        </w:rPr>
        <w:t>disease</w:t>
      </w:r>
      <w:proofErr w:type="spellEnd"/>
      <w:r w:rsidRPr="00993BED">
        <w:rPr>
          <w:rFonts w:ascii="Arial" w:eastAsia="Times New Roman" w:hAnsi="Arial" w:cs="Arial"/>
          <w:color w:val="333333"/>
          <w:sz w:val="15"/>
          <w:szCs w:val="15"/>
          <w:lang w:eastAsia="pl-PL"/>
        </w:rPr>
        <w:t>) – choroba spowodowana przez SARS-CoV-2, CRP (</w:t>
      </w:r>
      <w:r w:rsidRPr="00993BED">
        <w:rPr>
          <w:rFonts w:ascii="Arial" w:eastAsia="Times New Roman" w:hAnsi="Arial" w:cs="Arial"/>
          <w:i/>
          <w:iCs/>
          <w:color w:val="333333"/>
          <w:sz w:val="15"/>
          <w:szCs w:val="15"/>
          <w:lang w:eastAsia="pl-PL"/>
        </w:rPr>
        <w:t>C-</w:t>
      </w:r>
      <w:proofErr w:type="spellStart"/>
      <w:r w:rsidRPr="00993BED">
        <w:rPr>
          <w:rFonts w:ascii="Arial" w:eastAsia="Times New Roman" w:hAnsi="Arial" w:cs="Arial"/>
          <w:i/>
          <w:iCs/>
          <w:color w:val="333333"/>
          <w:sz w:val="15"/>
          <w:szCs w:val="15"/>
          <w:lang w:eastAsia="pl-PL"/>
        </w:rPr>
        <w:t>reactive</w:t>
      </w:r>
      <w:proofErr w:type="spellEnd"/>
      <w:r w:rsidRPr="00993BED">
        <w:rPr>
          <w:rFonts w:ascii="Arial" w:eastAsia="Times New Roman" w:hAnsi="Arial" w:cs="Arial"/>
          <w:i/>
          <w:iCs/>
          <w:color w:val="333333"/>
          <w:sz w:val="15"/>
          <w:szCs w:val="15"/>
          <w:lang w:eastAsia="pl-PL"/>
        </w:rPr>
        <w:t xml:space="preserve"> </w:t>
      </w:r>
      <w:proofErr w:type="spellStart"/>
      <w:r w:rsidRPr="00993BED">
        <w:rPr>
          <w:rFonts w:ascii="Arial" w:eastAsia="Times New Roman" w:hAnsi="Arial" w:cs="Arial"/>
          <w:i/>
          <w:iCs/>
          <w:color w:val="333333"/>
          <w:sz w:val="15"/>
          <w:szCs w:val="15"/>
          <w:lang w:eastAsia="pl-PL"/>
        </w:rPr>
        <w:t>proteine</w:t>
      </w:r>
      <w:proofErr w:type="spellEnd"/>
      <w:r w:rsidRPr="00993BED">
        <w:rPr>
          <w:rFonts w:ascii="Arial" w:eastAsia="Times New Roman" w:hAnsi="Arial" w:cs="Arial"/>
          <w:i/>
          <w:iCs/>
          <w:color w:val="333333"/>
          <w:sz w:val="15"/>
          <w:szCs w:val="15"/>
          <w:lang w:eastAsia="pl-PL"/>
        </w:rPr>
        <w:t>)</w:t>
      </w:r>
      <w:r w:rsidRPr="00993BED">
        <w:rPr>
          <w:rFonts w:ascii="Arial" w:eastAsia="Times New Roman" w:hAnsi="Arial" w:cs="Arial"/>
          <w:color w:val="333333"/>
          <w:sz w:val="15"/>
          <w:szCs w:val="15"/>
          <w:lang w:eastAsia="pl-PL"/>
        </w:rPr>
        <w:t> – białko C-reaktywne, EBM (</w:t>
      </w:r>
      <w:proofErr w:type="spellStart"/>
      <w:r w:rsidRPr="00993BED">
        <w:rPr>
          <w:rFonts w:ascii="Arial" w:eastAsia="Times New Roman" w:hAnsi="Arial" w:cs="Arial"/>
          <w:i/>
          <w:iCs/>
          <w:color w:val="333333"/>
          <w:sz w:val="15"/>
          <w:szCs w:val="15"/>
          <w:lang w:eastAsia="pl-PL"/>
        </w:rPr>
        <w:t>evidence-based</w:t>
      </w:r>
      <w:proofErr w:type="spellEnd"/>
      <w:r w:rsidRPr="00993BED">
        <w:rPr>
          <w:rFonts w:ascii="Arial" w:eastAsia="Times New Roman" w:hAnsi="Arial" w:cs="Arial"/>
          <w:i/>
          <w:iCs/>
          <w:color w:val="333333"/>
          <w:sz w:val="15"/>
          <w:szCs w:val="15"/>
          <w:lang w:eastAsia="pl-PL"/>
        </w:rPr>
        <w:t xml:space="preserve"> </w:t>
      </w:r>
      <w:proofErr w:type="spellStart"/>
      <w:r w:rsidRPr="00993BED">
        <w:rPr>
          <w:rFonts w:ascii="Arial" w:eastAsia="Times New Roman" w:hAnsi="Arial" w:cs="Arial"/>
          <w:i/>
          <w:iCs/>
          <w:color w:val="333333"/>
          <w:sz w:val="15"/>
          <w:szCs w:val="15"/>
          <w:lang w:eastAsia="pl-PL"/>
        </w:rPr>
        <w:t>medicine</w:t>
      </w:r>
      <w:proofErr w:type="spellEnd"/>
      <w:r w:rsidRPr="00993BED">
        <w:rPr>
          <w:rFonts w:ascii="Arial" w:eastAsia="Times New Roman" w:hAnsi="Arial" w:cs="Arial"/>
          <w:color w:val="333333"/>
          <w:sz w:val="15"/>
          <w:szCs w:val="15"/>
          <w:lang w:eastAsia="pl-PL"/>
        </w:rPr>
        <w:t>) – medycyna oparta na danych naukowych, EMA (</w:t>
      </w:r>
      <w:proofErr w:type="spellStart"/>
      <w:r w:rsidRPr="00993BED">
        <w:rPr>
          <w:rFonts w:ascii="Arial" w:eastAsia="Times New Roman" w:hAnsi="Arial" w:cs="Arial"/>
          <w:color w:val="333333"/>
          <w:sz w:val="15"/>
          <w:szCs w:val="15"/>
          <w:lang w:eastAsia="pl-PL"/>
        </w:rPr>
        <w:t>European</w:t>
      </w:r>
      <w:proofErr w:type="spellEnd"/>
      <w:r w:rsidRPr="00993BED">
        <w:rPr>
          <w:rFonts w:ascii="Arial" w:eastAsia="Times New Roman" w:hAnsi="Arial" w:cs="Arial"/>
          <w:color w:val="333333"/>
          <w:sz w:val="15"/>
          <w:szCs w:val="15"/>
          <w:lang w:eastAsia="pl-PL"/>
        </w:rPr>
        <w:t xml:space="preserve"> </w:t>
      </w:r>
      <w:proofErr w:type="spellStart"/>
      <w:r w:rsidRPr="00993BED">
        <w:rPr>
          <w:rFonts w:ascii="Arial" w:eastAsia="Times New Roman" w:hAnsi="Arial" w:cs="Arial"/>
          <w:color w:val="333333"/>
          <w:sz w:val="15"/>
          <w:szCs w:val="15"/>
          <w:lang w:eastAsia="pl-PL"/>
        </w:rPr>
        <w:t>Medicines</w:t>
      </w:r>
      <w:proofErr w:type="spellEnd"/>
      <w:r w:rsidRPr="00993BED">
        <w:rPr>
          <w:rFonts w:ascii="Arial" w:eastAsia="Times New Roman" w:hAnsi="Arial" w:cs="Arial"/>
          <w:color w:val="333333"/>
          <w:sz w:val="15"/>
          <w:szCs w:val="15"/>
          <w:lang w:eastAsia="pl-PL"/>
        </w:rPr>
        <w:t xml:space="preserve"> </w:t>
      </w:r>
      <w:proofErr w:type="spellStart"/>
      <w:r w:rsidRPr="00993BED">
        <w:rPr>
          <w:rFonts w:ascii="Arial" w:eastAsia="Times New Roman" w:hAnsi="Arial" w:cs="Arial"/>
          <w:color w:val="333333"/>
          <w:sz w:val="15"/>
          <w:szCs w:val="15"/>
          <w:lang w:eastAsia="pl-PL"/>
        </w:rPr>
        <w:t>Agency</w:t>
      </w:r>
      <w:proofErr w:type="spellEnd"/>
      <w:r w:rsidRPr="00993BED">
        <w:rPr>
          <w:rFonts w:ascii="Arial" w:eastAsia="Times New Roman" w:hAnsi="Arial" w:cs="Arial"/>
          <w:color w:val="333333"/>
          <w:sz w:val="15"/>
          <w:szCs w:val="15"/>
          <w:lang w:eastAsia="pl-PL"/>
        </w:rPr>
        <w:t xml:space="preserve">) – Europejska Agencja ds. Leków, GKS – </w:t>
      </w:r>
      <w:proofErr w:type="spellStart"/>
      <w:r w:rsidRPr="00993BED">
        <w:rPr>
          <w:rFonts w:ascii="Arial" w:eastAsia="Times New Roman" w:hAnsi="Arial" w:cs="Arial"/>
          <w:color w:val="333333"/>
          <w:sz w:val="15"/>
          <w:szCs w:val="15"/>
          <w:lang w:eastAsia="pl-PL"/>
        </w:rPr>
        <w:t>glikokortykosteroid</w:t>
      </w:r>
      <w:proofErr w:type="spellEnd"/>
      <w:r w:rsidRPr="00993BED">
        <w:rPr>
          <w:rFonts w:ascii="Arial" w:eastAsia="Times New Roman" w:hAnsi="Arial" w:cs="Arial"/>
          <w:color w:val="333333"/>
          <w:sz w:val="15"/>
          <w:szCs w:val="15"/>
          <w:lang w:eastAsia="pl-PL"/>
        </w:rPr>
        <w:t xml:space="preserve">(y), </w:t>
      </w:r>
      <w:proofErr w:type="spellStart"/>
      <w:r w:rsidRPr="00993BED">
        <w:rPr>
          <w:rFonts w:ascii="Arial" w:eastAsia="Times New Roman" w:hAnsi="Arial" w:cs="Arial"/>
          <w:color w:val="333333"/>
          <w:sz w:val="15"/>
          <w:szCs w:val="15"/>
          <w:lang w:eastAsia="pl-PL"/>
        </w:rPr>
        <w:t>HDCz</w:t>
      </w:r>
      <w:proofErr w:type="spellEnd"/>
      <w:r w:rsidRPr="00993BED">
        <w:rPr>
          <w:rFonts w:ascii="Arial" w:eastAsia="Times New Roman" w:hAnsi="Arial" w:cs="Arial"/>
          <w:color w:val="333333"/>
          <w:sz w:val="15"/>
          <w:szCs w:val="15"/>
          <w:lang w:eastAsia="pl-PL"/>
        </w:rPr>
        <w:t xml:space="preserve"> – heparyna drobnocząsteczkowa, IDSA – </w:t>
      </w:r>
      <w:proofErr w:type="spellStart"/>
      <w:r w:rsidRPr="00993BED">
        <w:rPr>
          <w:rFonts w:ascii="Arial" w:eastAsia="Times New Roman" w:hAnsi="Arial" w:cs="Arial"/>
          <w:color w:val="333333"/>
          <w:sz w:val="15"/>
          <w:szCs w:val="15"/>
          <w:lang w:eastAsia="pl-PL"/>
        </w:rPr>
        <w:t>Infectious</w:t>
      </w:r>
      <w:proofErr w:type="spellEnd"/>
      <w:r w:rsidRPr="00993BED">
        <w:rPr>
          <w:rFonts w:ascii="Arial" w:eastAsia="Times New Roman" w:hAnsi="Arial" w:cs="Arial"/>
          <w:color w:val="333333"/>
          <w:sz w:val="15"/>
          <w:szCs w:val="15"/>
          <w:lang w:eastAsia="pl-PL"/>
        </w:rPr>
        <w:t xml:space="preserve"> </w:t>
      </w:r>
      <w:proofErr w:type="spellStart"/>
      <w:r w:rsidRPr="00993BED">
        <w:rPr>
          <w:rFonts w:ascii="Arial" w:eastAsia="Times New Roman" w:hAnsi="Arial" w:cs="Arial"/>
          <w:color w:val="333333"/>
          <w:sz w:val="15"/>
          <w:szCs w:val="15"/>
          <w:lang w:eastAsia="pl-PL"/>
        </w:rPr>
        <w:t>Diseases</w:t>
      </w:r>
      <w:proofErr w:type="spellEnd"/>
      <w:r w:rsidRPr="00993BED">
        <w:rPr>
          <w:rFonts w:ascii="Arial" w:eastAsia="Times New Roman" w:hAnsi="Arial" w:cs="Arial"/>
          <w:color w:val="333333"/>
          <w:sz w:val="15"/>
          <w:szCs w:val="15"/>
          <w:lang w:eastAsia="pl-PL"/>
        </w:rPr>
        <w:t xml:space="preserve"> </w:t>
      </w:r>
      <w:proofErr w:type="spellStart"/>
      <w:r w:rsidRPr="00993BED">
        <w:rPr>
          <w:rFonts w:ascii="Arial" w:eastAsia="Times New Roman" w:hAnsi="Arial" w:cs="Arial"/>
          <w:color w:val="333333"/>
          <w:sz w:val="15"/>
          <w:szCs w:val="15"/>
          <w:lang w:eastAsia="pl-PL"/>
        </w:rPr>
        <w:t>Society</w:t>
      </w:r>
      <w:proofErr w:type="spellEnd"/>
      <w:r w:rsidRPr="00993BED">
        <w:rPr>
          <w:rFonts w:ascii="Arial" w:eastAsia="Times New Roman" w:hAnsi="Arial" w:cs="Arial"/>
          <w:color w:val="333333"/>
          <w:sz w:val="15"/>
          <w:szCs w:val="15"/>
          <w:lang w:eastAsia="pl-PL"/>
        </w:rPr>
        <w:t xml:space="preserve"> of </w:t>
      </w:r>
      <w:proofErr w:type="spellStart"/>
      <w:r w:rsidRPr="00993BED">
        <w:rPr>
          <w:rFonts w:ascii="Arial" w:eastAsia="Times New Roman" w:hAnsi="Arial" w:cs="Arial"/>
          <w:color w:val="333333"/>
          <w:sz w:val="15"/>
          <w:szCs w:val="15"/>
          <w:lang w:eastAsia="pl-PL"/>
        </w:rPr>
        <w:t>America</w:t>
      </w:r>
      <w:proofErr w:type="spellEnd"/>
      <w:r w:rsidRPr="00993BED">
        <w:rPr>
          <w:rFonts w:ascii="Arial" w:eastAsia="Times New Roman" w:hAnsi="Arial" w:cs="Arial"/>
          <w:color w:val="333333"/>
          <w:sz w:val="15"/>
          <w:szCs w:val="15"/>
          <w:lang w:eastAsia="pl-PL"/>
        </w:rPr>
        <w:t xml:space="preserve">, NIH – </w:t>
      </w:r>
      <w:proofErr w:type="spellStart"/>
      <w:r w:rsidRPr="00993BED">
        <w:rPr>
          <w:rFonts w:ascii="Arial" w:eastAsia="Times New Roman" w:hAnsi="Arial" w:cs="Arial"/>
          <w:color w:val="333333"/>
          <w:sz w:val="15"/>
          <w:szCs w:val="15"/>
          <w:lang w:eastAsia="pl-PL"/>
        </w:rPr>
        <w:t>National</w:t>
      </w:r>
      <w:proofErr w:type="spellEnd"/>
      <w:r w:rsidRPr="00993BED">
        <w:rPr>
          <w:rFonts w:ascii="Arial" w:eastAsia="Times New Roman" w:hAnsi="Arial" w:cs="Arial"/>
          <w:color w:val="333333"/>
          <w:sz w:val="15"/>
          <w:szCs w:val="15"/>
          <w:lang w:eastAsia="pl-PL"/>
        </w:rPr>
        <w:t xml:space="preserve"> </w:t>
      </w:r>
      <w:proofErr w:type="spellStart"/>
      <w:r w:rsidRPr="00993BED">
        <w:rPr>
          <w:rFonts w:ascii="Arial" w:eastAsia="Times New Roman" w:hAnsi="Arial" w:cs="Arial"/>
          <w:color w:val="333333"/>
          <w:sz w:val="15"/>
          <w:szCs w:val="15"/>
          <w:lang w:eastAsia="pl-PL"/>
        </w:rPr>
        <w:t>Institutes</w:t>
      </w:r>
      <w:proofErr w:type="spellEnd"/>
      <w:r w:rsidRPr="00993BED">
        <w:rPr>
          <w:rFonts w:ascii="Arial" w:eastAsia="Times New Roman" w:hAnsi="Arial" w:cs="Arial"/>
          <w:color w:val="333333"/>
          <w:sz w:val="15"/>
          <w:szCs w:val="15"/>
          <w:lang w:eastAsia="pl-PL"/>
        </w:rPr>
        <w:t xml:space="preserve"> of </w:t>
      </w:r>
      <w:proofErr w:type="spellStart"/>
      <w:r w:rsidRPr="00993BED">
        <w:rPr>
          <w:rFonts w:ascii="Arial" w:eastAsia="Times New Roman" w:hAnsi="Arial" w:cs="Arial"/>
          <w:color w:val="333333"/>
          <w:sz w:val="15"/>
          <w:szCs w:val="15"/>
          <w:lang w:eastAsia="pl-PL"/>
        </w:rPr>
        <w:t>Health</w:t>
      </w:r>
      <w:proofErr w:type="spellEnd"/>
      <w:r w:rsidRPr="00993BED">
        <w:rPr>
          <w:rFonts w:ascii="Arial" w:eastAsia="Times New Roman" w:hAnsi="Arial" w:cs="Arial"/>
          <w:color w:val="333333"/>
          <w:sz w:val="15"/>
          <w:szCs w:val="15"/>
          <w:lang w:eastAsia="pl-PL"/>
        </w:rPr>
        <w:t xml:space="preserve">, OIT – oddział intensywnej terapii, PCT – </w:t>
      </w:r>
      <w:proofErr w:type="spellStart"/>
      <w:r w:rsidRPr="00993BED">
        <w:rPr>
          <w:rFonts w:ascii="Arial" w:eastAsia="Times New Roman" w:hAnsi="Arial" w:cs="Arial"/>
          <w:color w:val="333333"/>
          <w:sz w:val="15"/>
          <w:szCs w:val="15"/>
          <w:lang w:eastAsia="pl-PL"/>
        </w:rPr>
        <w:t>prokalcytonina</w:t>
      </w:r>
      <w:proofErr w:type="spellEnd"/>
      <w:r w:rsidRPr="00993BED">
        <w:rPr>
          <w:rFonts w:ascii="Arial" w:eastAsia="Times New Roman" w:hAnsi="Arial" w:cs="Arial"/>
          <w:color w:val="333333"/>
          <w:sz w:val="15"/>
          <w:szCs w:val="15"/>
          <w:lang w:eastAsia="pl-PL"/>
        </w:rPr>
        <w:t xml:space="preserve">, </w:t>
      </w:r>
      <w:proofErr w:type="spellStart"/>
      <w:r w:rsidRPr="00993BED">
        <w:rPr>
          <w:rFonts w:ascii="Arial" w:eastAsia="Times New Roman" w:hAnsi="Arial" w:cs="Arial"/>
          <w:color w:val="333333"/>
          <w:sz w:val="15"/>
          <w:szCs w:val="15"/>
          <w:lang w:eastAsia="pl-PL"/>
        </w:rPr>
        <w:t>PTEiLChZ</w:t>
      </w:r>
      <w:proofErr w:type="spellEnd"/>
      <w:r w:rsidRPr="00993BED">
        <w:rPr>
          <w:rFonts w:ascii="Arial" w:eastAsia="Times New Roman" w:hAnsi="Arial" w:cs="Arial"/>
          <w:color w:val="333333"/>
          <w:sz w:val="15"/>
          <w:szCs w:val="15"/>
          <w:lang w:eastAsia="pl-PL"/>
        </w:rPr>
        <w:t xml:space="preserve"> – Polskie Towarzystwo Epidemiologów i Lekarzy Chorób Zakaźnych, RCT (</w:t>
      </w:r>
      <w:proofErr w:type="spellStart"/>
      <w:r w:rsidRPr="00993BED">
        <w:rPr>
          <w:rFonts w:ascii="Arial" w:eastAsia="Times New Roman" w:hAnsi="Arial" w:cs="Arial"/>
          <w:i/>
          <w:iCs/>
          <w:color w:val="333333"/>
          <w:sz w:val="15"/>
          <w:szCs w:val="15"/>
          <w:lang w:eastAsia="pl-PL"/>
        </w:rPr>
        <w:t>randomized</w:t>
      </w:r>
      <w:proofErr w:type="spellEnd"/>
      <w:r w:rsidRPr="00993BED">
        <w:rPr>
          <w:rFonts w:ascii="Arial" w:eastAsia="Times New Roman" w:hAnsi="Arial" w:cs="Arial"/>
          <w:i/>
          <w:iCs/>
          <w:color w:val="333333"/>
          <w:sz w:val="15"/>
          <w:szCs w:val="15"/>
          <w:lang w:eastAsia="pl-PL"/>
        </w:rPr>
        <w:t xml:space="preserve"> </w:t>
      </w:r>
      <w:proofErr w:type="spellStart"/>
      <w:r w:rsidRPr="00993BED">
        <w:rPr>
          <w:rFonts w:ascii="Arial" w:eastAsia="Times New Roman" w:hAnsi="Arial" w:cs="Arial"/>
          <w:i/>
          <w:iCs/>
          <w:color w:val="333333"/>
          <w:sz w:val="15"/>
          <w:szCs w:val="15"/>
          <w:lang w:eastAsia="pl-PL"/>
        </w:rPr>
        <w:t>controlled</w:t>
      </w:r>
      <w:proofErr w:type="spellEnd"/>
      <w:r w:rsidRPr="00993BED">
        <w:rPr>
          <w:rFonts w:ascii="Arial" w:eastAsia="Times New Roman" w:hAnsi="Arial" w:cs="Arial"/>
          <w:i/>
          <w:iCs/>
          <w:color w:val="333333"/>
          <w:sz w:val="15"/>
          <w:szCs w:val="15"/>
          <w:lang w:eastAsia="pl-PL"/>
        </w:rPr>
        <w:t xml:space="preserve"> </w:t>
      </w:r>
      <w:proofErr w:type="spellStart"/>
      <w:r w:rsidRPr="00993BED">
        <w:rPr>
          <w:rFonts w:ascii="Arial" w:eastAsia="Times New Roman" w:hAnsi="Arial" w:cs="Arial"/>
          <w:i/>
          <w:iCs/>
          <w:color w:val="333333"/>
          <w:sz w:val="15"/>
          <w:szCs w:val="15"/>
          <w:lang w:eastAsia="pl-PL"/>
        </w:rPr>
        <w:t>trial</w:t>
      </w:r>
      <w:proofErr w:type="spellEnd"/>
      <w:r w:rsidRPr="00993BED">
        <w:rPr>
          <w:rFonts w:ascii="Arial" w:eastAsia="Times New Roman" w:hAnsi="Arial" w:cs="Arial"/>
          <w:color w:val="333333"/>
          <w:sz w:val="15"/>
          <w:szCs w:val="15"/>
          <w:lang w:eastAsia="pl-PL"/>
        </w:rPr>
        <w:t>) – badanie kliniczne z randomizacją, SARS-CoV-2 (</w:t>
      </w:r>
      <w:proofErr w:type="spellStart"/>
      <w:r w:rsidRPr="00993BED">
        <w:rPr>
          <w:rFonts w:ascii="Arial" w:eastAsia="Times New Roman" w:hAnsi="Arial" w:cs="Arial"/>
          <w:i/>
          <w:iCs/>
          <w:color w:val="333333"/>
          <w:sz w:val="15"/>
          <w:szCs w:val="15"/>
          <w:lang w:eastAsia="pl-PL"/>
        </w:rPr>
        <w:t>severe</w:t>
      </w:r>
      <w:proofErr w:type="spellEnd"/>
      <w:r w:rsidRPr="00993BED">
        <w:rPr>
          <w:rFonts w:ascii="Arial" w:eastAsia="Times New Roman" w:hAnsi="Arial" w:cs="Arial"/>
          <w:i/>
          <w:iCs/>
          <w:color w:val="333333"/>
          <w:sz w:val="15"/>
          <w:szCs w:val="15"/>
          <w:lang w:eastAsia="pl-PL"/>
        </w:rPr>
        <w:t xml:space="preserve"> </w:t>
      </w:r>
      <w:proofErr w:type="spellStart"/>
      <w:r w:rsidRPr="00993BED">
        <w:rPr>
          <w:rFonts w:ascii="Arial" w:eastAsia="Times New Roman" w:hAnsi="Arial" w:cs="Arial"/>
          <w:i/>
          <w:iCs/>
          <w:color w:val="333333"/>
          <w:sz w:val="15"/>
          <w:szCs w:val="15"/>
          <w:lang w:eastAsia="pl-PL"/>
        </w:rPr>
        <w:t>acute</w:t>
      </w:r>
      <w:proofErr w:type="spellEnd"/>
      <w:r w:rsidRPr="00993BED">
        <w:rPr>
          <w:rFonts w:ascii="Arial" w:eastAsia="Times New Roman" w:hAnsi="Arial" w:cs="Arial"/>
          <w:i/>
          <w:iCs/>
          <w:color w:val="333333"/>
          <w:sz w:val="15"/>
          <w:szCs w:val="15"/>
          <w:lang w:eastAsia="pl-PL"/>
        </w:rPr>
        <w:t xml:space="preserve"> respiratory </w:t>
      </w:r>
      <w:proofErr w:type="spellStart"/>
      <w:r w:rsidRPr="00993BED">
        <w:rPr>
          <w:rFonts w:ascii="Arial" w:eastAsia="Times New Roman" w:hAnsi="Arial" w:cs="Arial"/>
          <w:i/>
          <w:iCs/>
          <w:color w:val="333333"/>
          <w:sz w:val="15"/>
          <w:szCs w:val="15"/>
          <w:lang w:eastAsia="pl-PL"/>
        </w:rPr>
        <w:t>syndrome</w:t>
      </w:r>
      <w:proofErr w:type="spellEnd"/>
      <w:r w:rsidRPr="00993BED">
        <w:rPr>
          <w:rFonts w:ascii="Arial" w:eastAsia="Times New Roman" w:hAnsi="Arial" w:cs="Arial"/>
          <w:i/>
          <w:iCs/>
          <w:color w:val="333333"/>
          <w:sz w:val="15"/>
          <w:szCs w:val="15"/>
          <w:lang w:eastAsia="pl-PL"/>
        </w:rPr>
        <w:t xml:space="preserve"> </w:t>
      </w:r>
      <w:proofErr w:type="spellStart"/>
      <w:r w:rsidRPr="00993BED">
        <w:rPr>
          <w:rFonts w:ascii="Arial" w:eastAsia="Times New Roman" w:hAnsi="Arial" w:cs="Arial"/>
          <w:i/>
          <w:iCs/>
          <w:color w:val="333333"/>
          <w:sz w:val="15"/>
          <w:szCs w:val="15"/>
          <w:lang w:eastAsia="pl-PL"/>
        </w:rPr>
        <w:t>coronavirus</w:t>
      </w:r>
      <w:proofErr w:type="spellEnd"/>
      <w:r w:rsidRPr="00993BED">
        <w:rPr>
          <w:rFonts w:ascii="Arial" w:eastAsia="Times New Roman" w:hAnsi="Arial" w:cs="Arial"/>
          <w:i/>
          <w:iCs/>
          <w:color w:val="333333"/>
          <w:sz w:val="15"/>
          <w:szCs w:val="15"/>
          <w:lang w:eastAsia="pl-PL"/>
        </w:rPr>
        <w:t xml:space="preserve"> 2</w:t>
      </w:r>
      <w:r w:rsidRPr="00993BED">
        <w:rPr>
          <w:rFonts w:ascii="Arial" w:eastAsia="Times New Roman" w:hAnsi="Arial" w:cs="Arial"/>
          <w:color w:val="333333"/>
          <w:sz w:val="15"/>
          <w:szCs w:val="15"/>
          <w:lang w:eastAsia="pl-PL"/>
        </w:rPr>
        <w:t xml:space="preserve">) – </w:t>
      </w:r>
      <w:proofErr w:type="spellStart"/>
      <w:r w:rsidRPr="00993BED">
        <w:rPr>
          <w:rFonts w:ascii="Arial" w:eastAsia="Times New Roman" w:hAnsi="Arial" w:cs="Arial"/>
          <w:color w:val="333333"/>
          <w:sz w:val="15"/>
          <w:szCs w:val="15"/>
          <w:lang w:eastAsia="pl-PL"/>
        </w:rPr>
        <w:t>koronawirus</w:t>
      </w:r>
      <w:proofErr w:type="spellEnd"/>
      <w:r w:rsidRPr="00993BED">
        <w:rPr>
          <w:rFonts w:ascii="Arial" w:eastAsia="Times New Roman" w:hAnsi="Arial" w:cs="Arial"/>
          <w:color w:val="333333"/>
          <w:sz w:val="15"/>
          <w:szCs w:val="15"/>
          <w:lang w:eastAsia="pl-PL"/>
        </w:rPr>
        <w:t xml:space="preserve"> zespołu ciężkiej niewydolności oddechowej 2, SpO</w:t>
      </w:r>
      <w:r w:rsidRPr="00993BED">
        <w:rPr>
          <w:rFonts w:ascii="Arial" w:eastAsia="Times New Roman" w:hAnsi="Arial" w:cs="Arial"/>
          <w:color w:val="333333"/>
          <w:sz w:val="12"/>
          <w:szCs w:val="12"/>
          <w:vertAlign w:val="subscript"/>
          <w:lang w:eastAsia="pl-PL"/>
        </w:rPr>
        <w:t>2</w:t>
      </w:r>
      <w:r w:rsidRPr="00993BED">
        <w:rPr>
          <w:rFonts w:ascii="Arial" w:eastAsia="Times New Roman" w:hAnsi="Arial" w:cs="Arial"/>
          <w:color w:val="333333"/>
          <w:sz w:val="15"/>
          <w:szCs w:val="15"/>
          <w:lang w:eastAsia="pl-PL"/>
        </w:rPr>
        <w:t xml:space="preserve"> – wysycenie hemoglobiny krwi tętniczej tlenem, WHO (World </w:t>
      </w:r>
      <w:proofErr w:type="spellStart"/>
      <w:r w:rsidRPr="00993BED">
        <w:rPr>
          <w:rFonts w:ascii="Arial" w:eastAsia="Times New Roman" w:hAnsi="Arial" w:cs="Arial"/>
          <w:color w:val="333333"/>
          <w:sz w:val="15"/>
          <w:szCs w:val="15"/>
          <w:lang w:eastAsia="pl-PL"/>
        </w:rPr>
        <w:t>Health</w:t>
      </w:r>
      <w:proofErr w:type="spellEnd"/>
      <w:r w:rsidRPr="00993BED">
        <w:rPr>
          <w:rFonts w:ascii="Arial" w:eastAsia="Times New Roman" w:hAnsi="Arial" w:cs="Arial"/>
          <w:color w:val="333333"/>
          <w:sz w:val="15"/>
          <w:szCs w:val="15"/>
          <w:lang w:eastAsia="pl-PL"/>
        </w:rPr>
        <w:t xml:space="preserve"> Organization) – Światowa Organizacja Zdrowia, </w:t>
      </w:r>
      <w:proofErr w:type="spellStart"/>
      <w:r w:rsidRPr="00993BED">
        <w:rPr>
          <w:rFonts w:ascii="Arial" w:eastAsia="Times New Roman" w:hAnsi="Arial" w:cs="Arial"/>
          <w:color w:val="333333"/>
          <w:sz w:val="15"/>
          <w:szCs w:val="15"/>
          <w:lang w:eastAsia="pl-PL"/>
        </w:rPr>
        <w:t>ŻChZZ</w:t>
      </w:r>
      <w:proofErr w:type="spellEnd"/>
      <w:r w:rsidRPr="00993BED">
        <w:rPr>
          <w:rFonts w:ascii="Arial" w:eastAsia="Times New Roman" w:hAnsi="Arial" w:cs="Arial"/>
          <w:color w:val="333333"/>
          <w:sz w:val="15"/>
          <w:szCs w:val="15"/>
          <w:lang w:eastAsia="pl-PL"/>
        </w:rPr>
        <w:t xml:space="preserve"> – żylna choroba zakrzepowo-zatorowa</w:t>
      </w:r>
    </w:p>
    <w:p w:rsidR="00993BED" w:rsidRPr="00993BED" w:rsidRDefault="00993BED" w:rsidP="00993BED">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993BED">
        <w:rPr>
          <w:rFonts w:ascii="Verdana" w:eastAsia="Times New Roman" w:hAnsi="Verdana" w:cs="Times New Roman"/>
          <w:b/>
          <w:bCs/>
          <w:color w:val="333333"/>
          <w:sz w:val="18"/>
          <w:szCs w:val="18"/>
          <w:lang w:eastAsia="pl-PL"/>
        </w:rPr>
        <w:t>Komentarz do artykułu: </w:t>
      </w:r>
      <w:hyperlink r:id="rId5" w:history="1">
        <w:r w:rsidRPr="00993BED">
          <w:rPr>
            <w:rFonts w:ascii="Verdana" w:eastAsia="Times New Roman" w:hAnsi="Verdana" w:cs="Times New Roman"/>
            <w:b/>
            <w:bCs/>
            <w:color w:val="00477F"/>
            <w:sz w:val="18"/>
            <w:szCs w:val="18"/>
            <w:lang w:eastAsia="pl-PL"/>
          </w:rPr>
          <w:t>Zalecenia diagnostyki i terapii zakażeń SARS-CoV-2 Polskiego Towarzystwa Epidemiologów i Lekarzy Chorób Zakaźnych (13.10.2020)</w:t>
        </w:r>
      </w:hyperlink>
    </w:p>
    <w:p w:rsidR="00993BED" w:rsidRPr="00993BED" w:rsidRDefault="00993BED" w:rsidP="00993BED">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993BED">
        <w:rPr>
          <w:rFonts w:ascii="Verdana" w:eastAsia="Times New Roman" w:hAnsi="Verdana" w:cs="Times New Roman"/>
          <w:color w:val="333333"/>
          <w:sz w:val="18"/>
          <w:szCs w:val="18"/>
          <w:lang w:eastAsia="pl-PL"/>
        </w:rPr>
        <w:t>Komentując zalecenia Polskiego Towarzystwa Epidemiologów i Lekarzy Chorób Zakaźnych (</w:t>
      </w:r>
      <w:proofErr w:type="spellStart"/>
      <w:r w:rsidRPr="00993BED">
        <w:rPr>
          <w:rFonts w:ascii="Verdana" w:eastAsia="Times New Roman" w:hAnsi="Verdana" w:cs="Times New Roman"/>
          <w:color w:val="333333"/>
          <w:sz w:val="18"/>
          <w:szCs w:val="18"/>
          <w:lang w:eastAsia="pl-PL"/>
        </w:rPr>
        <w:t>PTEiLChZ</w:t>
      </w:r>
      <w:proofErr w:type="spellEnd"/>
      <w:r w:rsidRPr="00993BED">
        <w:rPr>
          <w:rFonts w:ascii="Verdana" w:eastAsia="Times New Roman" w:hAnsi="Verdana" w:cs="Times New Roman"/>
          <w:color w:val="333333"/>
          <w:sz w:val="18"/>
          <w:szCs w:val="18"/>
          <w:lang w:eastAsia="pl-PL"/>
        </w:rPr>
        <w:t>) dotyczące postępowania w zakażeniu SARS-CoV-2,</w:t>
      </w:r>
      <w:r w:rsidRPr="00993BED">
        <w:rPr>
          <w:rFonts w:ascii="Verdana" w:eastAsia="Times New Roman" w:hAnsi="Verdana" w:cs="Times New Roman"/>
          <w:color w:val="333333"/>
          <w:sz w:val="16"/>
          <w:szCs w:val="16"/>
          <w:vertAlign w:val="superscript"/>
          <w:lang w:eastAsia="pl-PL"/>
        </w:rPr>
        <w:t>1</w:t>
      </w:r>
      <w:r w:rsidRPr="00993BED">
        <w:rPr>
          <w:rFonts w:ascii="Verdana" w:eastAsia="Times New Roman" w:hAnsi="Verdana" w:cs="Times New Roman"/>
          <w:color w:val="333333"/>
          <w:sz w:val="18"/>
          <w:szCs w:val="18"/>
          <w:lang w:eastAsia="pl-PL"/>
        </w:rPr>
        <w:t> trzeba podkreślić, że:</w:t>
      </w:r>
      <w:r w:rsidRPr="00993BED">
        <w:rPr>
          <w:rFonts w:ascii="Verdana" w:eastAsia="Times New Roman" w:hAnsi="Verdana" w:cs="Times New Roman"/>
          <w:color w:val="333333"/>
          <w:sz w:val="18"/>
          <w:szCs w:val="18"/>
          <w:lang w:eastAsia="pl-PL"/>
        </w:rPr>
        <w:br/>
        <w:t>1) wiedza na temat naturalnego przebiegu choroby jest niepełna</w:t>
      </w:r>
      <w:r w:rsidRPr="00993BED">
        <w:rPr>
          <w:rFonts w:ascii="Verdana" w:eastAsia="Times New Roman" w:hAnsi="Verdana" w:cs="Times New Roman"/>
          <w:color w:val="333333"/>
          <w:sz w:val="18"/>
          <w:szCs w:val="18"/>
          <w:lang w:eastAsia="pl-PL"/>
        </w:rPr>
        <w:br/>
        <w:t>2) aktualne wytyczne różnych towarzystw i organizacji są często oparte na interpretacji dostępnych, częściowych danych oraz rozważaniach patofizjologicznych</w:t>
      </w:r>
      <w:r w:rsidRPr="00993BED">
        <w:rPr>
          <w:rFonts w:ascii="Verdana" w:eastAsia="Times New Roman" w:hAnsi="Verdana" w:cs="Times New Roman"/>
          <w:color w:val="333333"/>
          <w:sz w:val="18"/>
          <w:szCs w:val="18"/>
          <w:lang w:eastAsia="pl-PL"/>
        </w:rPr>
        <w:br/>
        <w:t>3) poszczególne zalecenia i sugestie mogą się w przyszłości zmieniać</w:t>
      </w:r>
      <w:r w:rsidRPr="00993BED">
        <w:rPr>
          <w:rFonts w:ascii="Verdana" w:eastAsia="Times New Roman" w:hAnsi="Verdana" w:cs="Times New Roman"/>
          <w:color w:val="333333"/>
          <w:sz w:val="18"/>
          <w:szCs w:val="18"/>
          <w:lang w:eastAsia="pl-PL"/>
        </w:rPr>
        <w:br/>
        <w:t>4) wytyczne uwzględnione w niniejszym komentarzu zostały opracowane przez zespoły ekspertów zajmujących się chorobą wywołaną przez SARS-CoV-2 (COVID-19).</w:t>
      </w:r>
    </w:p>
    <w:p w:rsidR="00993BED" w:rsidRPr="00993BED" w:rsidRDefault="00993BED" w:rsidP="00993BED">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993BED">
        <w:rPr>
          <w:rFonts w:ascii="Verdana" w:eastAsia="Times New Roman" w:hAnsi="Verdana" w:cs="Times New Roman"/>
          <w:color w:val="333333"/>
          <w:sz w:val="18"/>
          <w:szCs w:val="18"/>
          <w:lang w:eastAsia="pl-PL"/>
        </w:rPr>
        <w:t>Różnice między zaleceniami (p. tab.) wynikają prawdopodobnie z nieco odmiennej interpretacji dostępnych danych oraz z różnego czasu ich publikacji (nowe dane pojawiają się niemal codziennie).</w:t>
      </w:r>
      <w:r w:rsidRPr="00993BED">
        <w:rPr>
          <w:rFonts w:ascii="Verdana" w:eastAsia="Times New Roman" w:hAnsi="Verdana" w:cs="Times New Roman"/>
          <w:color w:val="333333"/>
          <w:sz w:val="16"/>
          <w:szCs w:val="16"/>
          <w:vertAlign w:val="superscript"/>
          <w:lang w:eastAsia="pl-PL"/>
        </w:rPr>
        <w:t>2-7</w:t>
      </w:r>
      <w:r w:rsidRPr="00993BED">
        <w:rPr>
          <w:rFonts w:ascii="Verdana" w:eastAsia="Times New Roman" w:hAnsi="Verdana" w:cs="Times New Roman"/>
          <w:color w:val="333333"/>
          <w:sz w:val="18"/>
          <w:szCs w:val="18"/>
          <w:lang w:eastAsia="pl-PL"/>
        </w:rPr>
        <w:t> Uwaga ta odnosi się oczywiście również do naszego komentarza i naszych opinii w nim wyrażonych.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23"/>
        <w:gridCol w:w="1661"/>
        <w:gridCol w:w="1950"/>
        <w:gridCol w:w="1911"/>
        <w:gridCol w:w="1727"/>
      </w:tblGrid>
      <w:tr w:rsidR="00993BED" w:rsidRPr="00993BED" w:rsidTr="00993BED">
        <w:trPr>
          <w:tblCellSpacing w:w="15" w:type="dxa"/>
        </w:trPr>
        <w:tc>
          <w:tcPr>
            <w:tcW w:w="0" w:type="auto"/>
            <w:gridSpan w:val="5"/>
            <w:shd w:val="clear" w:color="auto" w:fill="00C2C9"/>
            <w:vAlign w:val="center"/>
            <w:hideMark/>
          </w:tcPr>
          <w:p w:rsidR="00993BED" w:rsidRPr="00993BED" w:rsidRDefault="00993BED" w:rsidP="00993BED">
            <w:pPr>
              <w:spacing w:after="0" w:line="240" w:lineRule="auto"/>
              <w:rPr>
                <w:rFonts w:ascii="Times New Roman" w:eastAsia="Times New Roman" w:hAnsi="Times New Roman" w:cs="Times New Roman"/>
                <w:b/>
                <w:bCs/>
                <w:color w:val="FFFFFF"/>
                <w:sz w:val="24"/>
                <w:szCs w:val="24"/>
                <w:lang w:eastAsia="pl-PL"/>
              </w:rPr>
            </w:pPr>
            <w:r w:rsidRPr="00993BED">
              <w:rPr>
                <w:rFonts w:ascii="Times New Roman" w:eastAsia="Times New Roman" w:hAnsi="Times New Roman" w:cs="Times New Roman"/>
                <w:b/>
                <w:bCs/>
                <w:color w:val="FFFFFF"/>
                <w:sz w:val="24"/>
                <w:szCs w:val="24"/>
                <w:lang w:eastAsia="pl-PL"/>
              </w:rPr>
              <w:t xml:space="preserve">Tabela. Porównanie zaleceń dotyczących leczenia przeciwwirusowego, immunomodulującego oraz wspomagającego w COVID-19 w wytycznych </w:t>
            </w:r>
            <w:proofErr w:type="spellStart"/>
            <w:r w:rsidRPr="00993BED">
              <w:rPr>
                <w:rFonts w:ascii="Times New Roman" w:eastAsia="Times New Roman" w:hAnsi="Times New Roman" w:cs="Times New Roman"/>
                <w:b/>
                <w:bCs/>
                <w:color w:val="FFFFFF"/>
                <w:sz w:val="24"/>
                <w:szCs w:val="24"/>
                <w:lang w:eastAsia="pl-PL"/>
              </w:rPr>
              <w:t>PTLEiChZ</w:t>
            </w:r>
            <w:proofErr w:type="spellEnd"/>
            <w:r w:rsidRPr="00993BED">
              <w:rPr>
                <w:rFonts w:ascii="Times New Roman" w:eastAsia="Times New Roman" w:hAnsi="Times New Roman" w:cs="Times New Roman"/>
                <w:b/>
                <w:bCs/>
                <w:color w:val="FFFFFF"/>
                <w:sz w:val="24"/>
                <w:szCs w:val="24"/>
                <w:lang w:eastAsia="pl-PL"/>
              </w:rPr>
              <w:t>, WHO, NIH oraz IDSA</w:t>
            </w:r>
          </w:p>
        </w:tc>
      </w:tr>
      <w:tr w:rsidR="00993BED" w:rsidRPr="00993BED" w:rsidTr="00993BED">
        <w:trPr>
          <w:tblCellSpacing w:w="15" w:type="dxa"/>
        </w:trPr>
        <w:tc>
          <w:tcPr>
            <w:tcW w:w="0" w:type="auto"/>
            <w:shd w:val="clear" w:color="auto" w:fill="auto"/>
            <w:hideMark/>
          </w:tcPr>
          <w:p w:rsidR="00993BED" w:rsidRPr="00993BED" w:rsidRDefault="00993BED" w:rsidP="00993BED">
            <w:pPr>
              <w:spacing w:after="0" w:line="240" w:lineRule="auto"/>
              <w:rPr>
                <w:rFonts w:ascii="Times New Roman" w:eastAsia="Times New Roman" w:hAnsi="Times New Roman" w:cs="Times New Roman"/>
                <w:sz w:val="24"/>
                <w:szCs w:val="24"/>
                <w:lang w:eastAsia="pl-PL"/>
              </w:rPr>
            </w:pPr>
            <w:r w:rsidRPr="00993BED">
              <w:rPr>
                <w:rFonts w:ascii="Times New Roman" w:eastAsia="Times New Roman" w:hAnsi="Times New Roman" w:cs="Times New Roman"/>
                <w:b/>
                <w:bCs/>
                <w:sz w:val="24"/>
                <w:szCs w:val="24"/>
                <w:lang w:eastAsia="pl-PL"/>
              </w:rPr>
              <w:t>Wytyczne (data publikacji)</w:t>
            </w:r>
          </w:p>
        </w:tc>
        <w:tc>
          <w:tcPr>
            <w:tcW w:w="0" w:type="auto"/>
            <w:shd w:val="clear" w:color="auto" w:fill="auto"/>
            <w:hideMark/>
          </w:tcPr>
          <w:p w:rsidR="00993BED" w:rsidRPr="00993BED" w:rsidRDefault="00993BED" w:rsidP="00993BED">
            <w:pPr>
              <w:spacing w:after="0" w:line="240" w:lineRule="auto"/>
              <w:rPr>
                <w:rFonts w:ascii="Times New Roman" w:eastAsia="Times New Roman" w:hAnsi="Times New Roman" w:cs="Times New Roman"/>
                <w:sz w:val="24"/>
                <w:szCs w:val="24"/>
                <w:lang w:eastAsia="pl-PL"/>
              </w:rPr>
            </w:pPr>
            <w:proofErr w:type="spellStart"/>
            <w:r w:rsidRPr="00993BED">
              <w:rPr>
                <w:rFonts w:ascii="Times New Roman" w:eastAsia="Times New Roman" w:hAnsi="Times New Roman" w:cs="Times New Roman"/>
                <w:b/>
                <w:bCs/>
                <w:sz w:val="24"/>
                <w:szCs w:val="24"/>
                <w:lang w:eastAsia="pl-PL"/>
              </w:rPr>
              <w:t>PTEiLChZ</w:t>
            </w:r>
            <w:proofErr w:type="spellEnd"/>
            <w:r w:rsidRPr="00993BED">
              <w:rPr>
                <w:rFonts w:ascii="Times New Roman" w:eastAsia="Times New Roman" w:hAnsi="Times New Roman" w:cs="Times New Roman"/>
                <w:b/>
                <w:bCs/>
                <w:sz w:val="24"/>
                <w:szCs w:val="24"/>
                <w:lang w:eastAsia="pl-PL"/>
              </w:rPr>
              <w:t xml:space="preserve"> (13.10.2020)</w:t>
            </w:r>
            <w:r w:rsidRPr="00993BED">
              <w:rPr>
                <w:rFonts w:ascii="Times New Roman" w:eastAsia="Times New Roman" w:hAnsi="Times New Roman" w:cs="Times New Roman"/>
                <w:b/>
                <w:bCs/>
                <w:sz w:val="14"/>
                <w:szCs w:val="14"/>
                <w:vertAlign w:val="superscript"/>
                <w:lang w:eastAsia="pl-PL"/>
              </w:rPr>
              <w:t>1</w:t>
            </w:r>
          </w:p>
        </w:tc>
        <w:tc>
          <w:tcPr>
            <w:tcW w:w="0" w:type="auto"/>
            <w:shd w:val="clear" w:color="auto" w:fill="auto"/>
            <w:hideMark/>
          </w:tcPr>
          <w:p w:rsidR="00993BED" w:rsidRPr="00993BED" w:rsidRDefault="00993BED" w:rsidP="00993BED">
            <w:pPr>
              <w:spacing w:after="0" w:line="240" w:lineRule="auto"/>
              <w:rPr>
                <w:rFonts w:ascii="Times New Roman" w:eastAsia="Times New Roman" w:hAnsi="Times New Roman" w:cs="Times New Roman"/>
                <w:sz w:val="24"/>
                <w:szCs w:val="24"/>
                <w:lang w:eastAsia="pl-PL"/>
              </w:rPr>
            </w:pPr>
            <w:r w:rsidRPr="00993BED">
              <w:rPr>
                <w:rFonts w:ascii="Times New Roman" w:eastAsia="Times New Roman" w:hAnsi="Times New Roman" w:cs="Times New Roman"/>
                <w:b/>
                <w:bCs/>
                <w:sz w:val="24"/>
                <w:szCs w:val="24"/>
                <w:lang w:eastAsia="pl-PL"/>
              </w:rPr>
              <w:t>WHO (4.09.2020)</w:t>
            </w:r>
            <w:r w:rsidRPr="00993BED">
              <w:rPr>
                <w:rFonts w:ascii="Times New Roman" w:eastAsia="Times New Roman" w:hAnsi="Times New Roman" w:cs="Times New Roman"/>
                <w:b/>
                <w:bCs/>
                <w:sz w:val="14"/>
                <w:szCs w:val="14"/>
                <w:vertAlign w:val="superscript"/>
                <w:lang w:eastAsia="pl-PL"/>
              </w:rPr>
              <w:t>3,4</w:t>
            </w:r>
          </w:p>
        </w:tc>
        <w:tc>
          <w:tcPr>
            <w:tcW w:w="0" w:type="auto"/>
            <w:shd w:val="clear" w:color="auto" w:fill="auto"/>
            <w:hideMark/>
          </w:tcPr>
          <w:p w:rsidR="00993BED" w:rsidRPr="00993BED" w:rsidRDefault="00993BED" w:rsidP="00993BED">
            <w:pPr>
              <w:spacing w:after="0" w:line="240" w:lineRule="auto"/>
              <w:rPr>
                <w:rFonts w:ascii="Times New Roman" w:eastAsia="Times New Roman" w:hAnsi="Times New Roman" w:cs="Times New Roman"/>
                <w:sz w:val="24"/>
                <w:szCs w:val="24"/>
                <w:lang w:eastAsia="pl-PL"/>
              </w:rPr>
            </w:pPr>
            <w:r w:rsidRPr="00993BED">
              <w:rPr>
                <w:rFonts w:ascii="Times New Roman" w:eastAsia="Times New Roman" w:hAnsi="Times New Roman" w:cs="Times New Roman"/>
                <w:b/>
                <w:bCs/>
                <w:sz w:val="24"/>
                <w:szCs w:val="24"/>
                <w:lang w:eastAsia="pl-PL"/>
              </w:rPr>
              <w:t>NIH (9.10.2020)</w:t>
            </w:r>
            <w:r w:rsidRPr="00993BED">
              <w:rPr>
                <w:rFonts w:ascii="Times New Roman" w:eastAsia="Times New Roman" w:hAnsi="Times New Roman" w:cs="Times New Roman"/>
                <w:b/>
                <w:bCs/>
                <w:sz w:val="14"/>
                <w:szCs w:val="14"/>
                <w:vertAlign w:val="superscript"/>
                <w:lang w:eastAsia="pl-PL"/>
              </w:rPr>
              <w:t>2</w:t>
            </w:r>
          </w:p>
        </w:tc>
        <w:tc>
          <w:tcPr>
            <w:tcW w:w="0" w:type="auto"/>
            <w:shd w:val="clear" w:color="auto" w:fill="auto"/>
            <w:hideMark/>
          </w:tcPr>
          <w:p w:rsidR="00993BED" w:rsidRPr="00993BED" w:rsidRDefault="00993BED" w:rsidP="00993BED">
            <w:pPr>
              <w:spacing w:after="0" w:line="240" w:lineRule="auto"/>
              <w:rPr>
                <w:rFonts w:ascii="Times New Roman" w:eastAsia="Times New Roman" w:hAnsi="Times New Roman" w:cs="Times New Roman"/>
                <w:sz w:val="24"/>
                <w:szCs w:val="24"/>
                <w:lang w:eastAsia="pl-PL"/>
              </w:rPr>
            </w:pPr>
            <w:r w:rsidRPr="00993BED">
              <w:rPr>
                <w:rFonts w:ascii="Times New Roman" w:eastAsia="Times New Roman" w:hAnsi="Times New Roman" w:cs="Times New Roman"/>
                <w:b/>
                <w:bCs/>
                <w:sz w:val="24"/>
                <w:szCs w:val="24"/>
                <w:lang w:eastAsia="pl-PL"/>
              </w:rPr>
              <w:t>IDSA (25.09.2020)</w:t>
            </w:r>
            <w:r w:rsidRPr="00993BED">
              <w:rPr>
                <w:rFonts w:ascii="Times New Roman" w:eastAsia="Times New Roman" w:hAnsi="Times New Roman" w:cs="Times New Roman"/>
                <w:b/>
                <w:bCs/>
                <w:sz w:val="14"/>
                <w:szCs w:val="14"/>
                <w:vertAlign w:val="superscript"/>
                <w:lang w:eastAsia="pl-PL"/>
              </w:rPr>
              <w:t>7</w:t>
            </w:r>
          </w:p>
        </w:tc>
      </w:tr>
      <w:tr w:rsidR="00993BED" w:rsidRPr="00993BED" w:rsidTr="00993BED">
        <w:trPr>
          <w:tblCellSpacing w:w="15" w:type="dxa"/>
        </w:trPr>
        <w:tc>
          <w:tcPr>
            <w:tcW w:w="0" w:type="auto"/>
            <w:shd w:val="clear" w:color="auto" w:fill="auto"/>
            <w:hideMark/>
          </w:tcPr>
          <w:p w:rsidR="00993BED" w:rsidRPr="00993BED" w:rsidRDefault="00993BED" w:rsidP="00993BED">
            <w:pPr>
              <w:spacing w:after="0" w:line="240" w:lineRule="auto"/>
              <w:rPr>
                <w:rFonts w:ascii="Times New Roman" w:eastAsia="Times New Roman" w:hAnsi="Times New Roman" w:cs="Times New Roman"/>
                <w:sz w:val="24"/>
                <w:szCs w:val="24"/>
                <w:lang w:eastAsia="pl-PL"/>
              </w:rPr>
            </w:pPr>
            <w:r w:rsidRPr="00993BED">
              <w:rPr>
                <w:rFonts w:ascii="Times New Roman" w:eastAsia="Times New Roman" w:hAnsi="Times New Roman" w:cs="Times New Roman"/>
                <w:sz w:val="24"/>
                <w:szCs w:val="24"/>
                <w:lang w:eastAsia="pl-PL"/>
              </w:rPr>
              <w:t>kryteria ciężkości przebiegu COVID-19 u dorosłych</w:t>
            </w:r>
          </w:p>
        </w:tc>
        <w:tc>
          <w:tcPr>
            <w:tcW w:w="0" w:type="auto"/>
            <w:shd w:val="clear" w:color="auto" w:fill="auto"/>
            <w:hideMark/>
          </w:tcPr>
          <w:p w:rsidR="00993BED" w:rsidRPr="00993BED" w:rsidRDefault="00993BED" w:rsidP="00993BED">
            <w:pPr>
              <w:spacing w:after="0" w:line="240" w:lineRule="auto"/>
              <w:rPr>
                <w:rFonts w:ascii="Times New Roman" w:eastAsia="Times New Roman" w:hAnsi="Times New Roman" w:cs="Times New Roman"/>
                <w:sz w:val="24"/>
                <w:szCs w:val="24"/>
                <w:lang w:eastAsia="pl-PL"/>
              </w:rPr>
            </w:pPr>
            <w:r w:rsidRPr="00993BED">
              <w:rPr>
                <w:rFonts w:ascii="Times New Roman" w:eastAsia="Times New Roman" w:hAnsi="Times New Roman" w:cs="Times New Roman"/>
                <w:sz w:val="24"/>
                <w:szCs w:val="24"/>
                <w:lang w:eastAsia="pl-PL"/>
              </w:rPr>
              <w:t xml:space="preserve">1. stadium 1 – bezobjawowe lub </w:t>
            </w:r>
            <w:proofErr w:type="spellStart"/>
            <w:r w:rsidRPr="00993BED">
              <w:rPr>
                <w:rFonts w:ascii="Times New Roman" w:eastAsia="Times New Roman" w:hAnsi="Times New Roman" w:cs="Times New Roman"/>
                <w:sz w:val="24"/>
                <w:szCs w:val="24"/>
                <w:lang w:eastAsia="pl-PL"/>
              </w:rPr>
              <w:t>skąpoobjawowe</w:t>
            </w:r>
            <w:proofErr w:type="spellEnd"/>
            <w:r w:rsidRPr="00993BED">
              <w:rPr>
                <w:rFonts w:ascii="Times New Roman" w:eastAsia="Times New Roman" w:hAnsi="Times New Roman" w:cs="Times New Roman"/>
                <w:sz w:val="24"/>
                <w:szCs w:val="24"/>
                <w:lang w:eastAsia="pl-PL"/>
              </w:rPr>
              <w:t xml:space="preserve"> (SpO</w:t>
            </w:r>
            <w:r w:rsidRPr="00993BED">
              <w:rPr>
                <w:rFonts w:ascii="Times New Roman" w:eastAsia="Times New Roman" w:hAnsi="Times New Roman" w:cs="Times New Roman"/>
                <w:sz w:val="14"/>
                <w:szCs w:val="14"/>
                <w:vertAlign w:val="subscript"/>
                <w:lang w:eastAsia="pl-PL"/>
              </w:rPr>
              <w:t>2</w:t>
            </w:r>
            <w:r w:rsidRPr="00993BED">
              <w:rPr>
                <w:rFonts w:ascii="Times New Roman" w:eastAsia="Times New Roman" w:hAnsi="Times New Roman" w:cs="Times New Roman"/>
                <w:sz w:val="24"/>
                <w:szCs w:val="24"/>
                <w:lang w:eastAsia="pl-PL"/>
              </w:rPr>
              <w:t xml:space="preserve"> ≤95%, chory nie </w:t>
            </w:r>
            <w:r w:rsidRPr="00993BED">
              <w:rPr>
                <w:rFonts w:ascii="Times New Roman" w:eastAsia="Times New Roman" w:hAnsi="Times New Roman" w:cs="Times New Roman"/>
                <w:sz w:val="24"/>
                <w:szCs w:val="24"/>
                <w:lang w:eastAsia="pl-PL"/>
              </w:rPr>
              <w:lastRenderedPageBreak/>
              <w:t>wymaga hospitalizacji)</w:t>
            </w:r>
            <w:r w:rsidRPr="00993BED">
              <w:rPr>
                <w:rFonts w:ascii="Times New Roman" w:eastAsia="Times New Roman" w:hAnsi="Times New Roman" w:cs="Times New Roman"/>
                <w:sz w:val="24"/>
                <w:szCs w:val="24"/>
                <w:lang w:eastAsia="pl-PL"/>
              </w:rPr>
              <w:br/>
              <w:t xml:space="preserve">2. stadium 2 – pełnoobjawowe (SpO2 &lt;95%, chory wymaga hospitalizacji, zwykle 1. </w:t>
            </w:r>
            <w:proofErr w:type="spellStart"/>
            <w:r w:rsidRPr="00993BED">
              <w:rPr>
                <w:rFonts w:ascii="Times New Roman" w:eastAsia="Times New Roman" w:hAnsi="Times New Roman" w:cs="Times New Roman"/>
                <w:sz w:val="24"/>
                <w:szCs w:val="24"/>
                <w:lang w:eastAsia="pl-PL"/>
              </w:rPr>
              <w:t>tydz</w:t>
            </w:r>
            <w:proofErr w:type="spellEnd"/>
            <w:r w:rsidRPr="00993BED">
              <w:rPr>
                <w:rFonts w:ascii="Times New Roman" w:eastAsia="Times New Roman" w:hAnsi="Times New Roman" w:cs="Times New Roman"/>
                <w:sz w:val="24"/>
                <w:szCs w:val="24"/>
                <w:lang w:eastAsia="pl-PL"/>
              </w:rPr>
              <w:t>. choroby)</w:t>
            </w:r>
            <w:r w:rsidRPr="00993BED">
              <w:rPr>
                <w:rFonts w:ascii="Times New Roman" w:eastAsia="Times New Roman" w:hAnsi="Times New Roman" w:cs="Times New Roman"/>
                <w:sz w:val="24"/>
                <w:szCs w:val="24"/>
                <w:lang w:eastAsia="pl-PL"/>
              </w:rPr>
              <w:br/>
              <w:t>3. stadium 3 – z niewydolnością oddechową (SpO</w:t>
            </w:r>
            <w:r w:rsidRPr="00993BED">
              <w:rPr>
                <w:rFonts w:ascii="Times New Roman" w:eastAsia="Times New Roman" w:hAnsi="Times New Roman" w:cs="Times New Roman"/>
                <w:sz w:val="14"/>
                <w:szCs w:val="14"/>
                <w:vertAlign w:val="subscript"/>
                <w:lang w:eastAsia="pl-PL"/>
              </w:rPr>
              <w:t>2</w:t>
            </w:r>
            <w:r w:rsidRPr="00993BED">
              <w:rPr>
                <w:rFonts w:ascii="Times New Roman" w:eastAsia="Times New Roman" w:hAnsi="Times New Roman" w:cs="Times New Roman"/>
                <w:sz w:val="24"/>
                <w:szCs w:val="24"/>
                <w:lang w:eastAsia="pl-PL"/>
              </w:rPr>
              <w:t> &lt;90% pomimo tlenoterapii, zwykle 2. tydzień choroby, chory wymaga hospitalizacji)</w:t>
            </w:r>
            <w:r w:rsidRPr="00993BED">
              <w:rPr>
                <w:rFonts w:ascii="Times New Roman" w:eastAsia="Times New Roman" w:hAnsi="Times New Roman" w:cs="Times New Roman"/>
                <w:sz w:val="24"/>
                <w:szCs w:val="24"/>
                <w:lang w:eastAsia="pl-PL"/>
              </w:rPr>
              <w:br/>
              <w:t>4. stadium 4 – z ostrą niewydolnością oddechową (ARDS, bez efektów dotychczasowej farmakoterapii, konieczność wentylacji mechanicznej, chory wymaga hospitalizacji na OIT)</w:t>
            </w:r>
          </w:p>
        </w:tc>
        <w:tc>
          <w:tcPr>
            <w:tcW w:w="0" w:type="auto"/>
            <w:shd w:val="clear" w:color="auto" w:fill="auto"/>
            <w:hideMark/>
          </w:tcPr>
          <w:p w:rsidR="00993BED" w:rsidRPr="00993BED" w:rsidRDefault="00993BED" w:rsidP="00993BED">
            <w:pPr>
              <w:spacing w:after="0" w:line="240" w:lineRule="auto"/>
              <w:rPr>
                <w:rFonts w:ascii="Times New Roman" w:eastAsia="Times New Roman" w:hAnsi="Times New Roman" w:cs="Times New Roman"/>
                <w:sz w:val="24"/>
                <w:szCs w:val="24"/>
                <w:lang w:eastAsia="pl-PL"/>
              </w:rPr>
            </w:pPr>
            <w:r w:rsidRPr="00993BED">
              <w:rPr>
                <w:rFonts w:ascii="Times New Roman" w:eastAsia="Times New Roman" w:hAnsi="Times New Roman" w:cs="Times New Roman"/>
                <w:sz w:val="24"/>
                <w:szCs w:val="24"/>
                <w:lang w:eastAsia="pl-PL"/>
              </w:rPr>
              <w:lastRenderedPageBreak/>
              <w:t>1. przebieg łagodny – bez cech przebiegu ciężkiego lub krytycznego</w:t>
            </w:r>
            <w:r w:rsidRPr="00993BED">
              <w:rPr>
                <w:rFonts w:ascii="Times New Roman" w:eastAsia="Times New Roman" w:hAnsi="Times New Roman" w:cs="Times New Roman"/>
                <w:sz w:val="24"/>
                <w:szCs w:val="24"/>
                <w:lang w:eastAsia="pl-PL"/>
              </w:rPr>
              <w:br/>
              <w:t xml:space="preserve">2. przebieg ciężki – </w:t>
            </w:r>
            <w:r w:rsidRPr="00993BED">
              <w:rPr>
                <w:rFonts w:ascii="Times New Roman" w:eastAsia="Times New Roman" w:hAnsi="Times New Roman" w:cs="Times New Roman"/>
                <w:sz w:val="24"/>
                <w:szCs w:val="24"/>
                <w:lang w:eastAsia="pl-PL"/>
              </w:rPr>
              <w:lastRenderedPageBreak/>
              <w:t>z występowaniem ≥1 kryterium spośród:</w:t>
            </w:r>
            <w:r w:rsidRPr="00993BED">
              <w:rPr>
                <w:rFonts w:ascii="Times New Roman" w:eastAsia="Times New Roman" w:hAnsi="Times New Roman" w:cs="Times New Roman"/>
                <w:sz w:val="24"/>
                <w:szCs w:val="24"/>
                <w:lang w:eastAsia="pl-PL"/>
              </w:rPr>
              <w:br/>
              <w:t>– SpO</w:t>
            </w:r>
            <w:r w:rsidRPr="00993BED">
              <w:rPr>
                <w:rFonts w:ascii="Times New Roman" w:eastAsia="Times New Roman" w:hAnsi="Times New Roman" w:cs="Times New Roman"/>
                <w:sz w:val="14"/>
                <w:szCs w:val="14"/>
                <w:vertAlign w:val="subscript"/>
                <w:lang w:eastAsia="pl-PL"/>
              </w:rPr>
              <w:t>2</w:t>
            </w:r>
            <w:r w:rsidRPr="00993BED">
              <w:rPr>
                <w:rFonts w:ascii="Times New Roman" w:eastAsia="Times New Roman" w:hAnsi="Times New Roman" w:cs="Times New Roman"/>
                <w:sz w:val="24"/>
                <w:szCs w:val="24"/>
                <w:lang w:eastAsia="pl-PL"/>
              </w:rPr>
              <w:t> &lt;90%</w:t>
            </w:r>
            <w:r w:rsidRPr="00993BED">
              <w:rPr>
                <w:rFonts w:ascii="Times New Roman" w:eastAsia="Times New Roman" w:hAnsi="Times New Roman" w:cs="Times New Roman"/>
                <w:sz w:val="14"/>
                <w:szCs w:val="14"/>
                <w:vertAlign w:val="superscript"/>
                <w:lang w:eastAsia="pl-PL"/>
              </w:rPr>
              <w:t>a</w:t>
            </w:r>
            <w:r w:rsidRPr="00993BED">
              <w:rPr>
                <w:rFonts w:ascii="Times New Roman" w:eastAsia="Times New Roman" w:hAnsi="Times New Roman" w:cs="Times New Roman"/>
                <w:sz w:val="24"/>
                <w:szCs w:val="24"/>
                <w:lang w:eastAsia="pl-PL"/>
              </w:rPr>
              <w:br/>
              <w:t>– częstotliwość oddechów &gt;30 min</w:t>
            </w:r>
            <w:r w:rsidRPr="00993BED">
              <w:rPr>
                <w:rFonts w:ascii="Times New Roman" w:eastAsia="Times New Roman" w:hAnsi="Times New Roman" w:cs="Times New Roman"/>
                <w:sz w:val="24"/>
                <w:szCs w:val="24"/>
                <w:lang w:eastAsia="pl-PL"/>
              </w:rPr>
              <w:br/>
              <w:t>– objawy niewydolności oddechowej (praca dodatkowych mięśni oddechowych, trudności w mówieniu zdaniami, sinica lub inne objawy alarmowe)</w:t>
            </w:r>
            <w:r w:rsidRPr="00993BED">
              <w:rPr>
                <w:rFonts w:ascii="Times New Roman" w:eastAsia="Times New Roman" w:hAnsi="Times New Roman" w:cs="Times New Roman"/>
                <w:sz w:val="24"/>
                <w:szCs w:val="24"/>
                <w:lang w:eastAsia="pl-PL"/>
              </w:rPr>
              <w:br/>
              <w:t>3. przebieg krytyczny – ARDS, sepsa, wstrząs septyczny lub inny stan wymagający intensywnej terapii</w:t>
            </w:r>
          </w:p>
        </w:tc>
        <w:tc>
          <w:tcPr>
            <w:tcW w:w="0" w:type="auto"/>
            <w:shd w:val="clear" w:color="auto" w:fill="auto"/>
            <w:hideMark/>
          </w:tcPr>
          <w:p w:rsidR="00993BED" w:rsidRPr="00993BED" w:rsidRDefault="00993BED" w:rsidP="00993BED">
            <w:pPr>
              <w:spacing w:after="0" w:line="240" w:lineRule="auto"/>
              <w:rPr>
                <w:rFonts w:ascii="Times New Roman" w:eastAsia="Times New Roman" w:hAnsi="Times New Roman" w:cs="Times New Roman"/>
                <w:sz w:val="24"/>
                <w:szCs w:val="24"/>
                <w:lang w:eastAsia="pl-PL"/>
              </w:rPr>
            </w:pPr>
            <w:r w:rsidRPr="00993BED">
              <w:rPr>
                <w:rFonts w:ascii="Times New Roman" w:eastAsia="Times New Roman" w:hAnsi="Times New Roman" w:cs="Times New Roman"/>
                <w:sz w:val="24"/>
                <w:szCs w:val="24"/>
                <w:lang w:eastAsia="pl-PL"/>
              </w:rPr>
              <w:lastRenderedPageBreak/>
              <w:t>1. chory niewymagający hospitalizacji lub hospitalizowany, ale niewymagający tlenoterapii</w:t>
            </w:r>
            <w:r w:rsidRPr="00993BED">
              <w:rPr>
                <w:rFonts w:ascii="Times New Roman" w:eastAsia="Times New Roman" w:hAnsi="Times New Roman" w:cs="Times New Roman"/>
                <w:sz w:val="24"/>
                <w:szCs w:val="24"/>
                <w:lang w:eastAsia="pl-PL"/>
              </w:rPr>
              <w:br/>
            </w:r>
            <w:r w:rsidRPr="00993BED">
              <w:rPr>
                <w:rFonts w:ascii="Times New Roman" w:eastAsia="Times New Roman" w:hAnsi="Times New Roman" w:cs="Times New Roman"/>
                <w:sz w:val="24"/>
                <w:szCs w:val="24"/>
                <w:lang w:eastAsia="pl-PL"/>
              </w:rPr>
              <w:lastRenderedPageBreak/>
              <w:t>2. chory hospitalizowany, wymagający tlenoterapii, ale nie tlenoterapii wysokoprzepływowej, nieinwazyjnej lub inwazyjnej wentylacji wspomaganej bądź ECMO</w:t>
            </w:r>
            <w:r w:rsidRPr="00993BED">
              <w:rPr>
                <w:rFonts w:ascii="Times New Roman" w:eastAsia="Times New Roman" w:hAnsi="Times New Roman" w:cs="Times New Roman"/>
                <w:sz w:val="24"/>
                <w:szCs w:val="24"/>
                <w:lang w:eastAsia="pl-PL"/>
              </w:rPr>
              <w:br/>
              <w:t>3. chory hospitalizowany, wymagający tlenoterapii wysokoprzepływowej lub nieinwazyjnej wentylacji wspomaganej</w:t>
            </w:r>
            <w:r w:rsidRPr="00993BED">
              <w:rPr>
                <w:rFonts w:ascii="Times New Roman" w:eastAsia="Times New Roman" w:hAnsi="Times New Roman" w:cs="Times New Roman"/>
                <w:sz w:val="24"/>
                <w:szCs w:val="24"/>
                <w:lang w:eastAsia="pl-PL"/>
              </w:rPr>
              <w:br/>
              <w:t>4. chory hospitalizowany, wymagający inwazyjnej wentylacji mechanicznej lub ECMO</w:t>
            </w:r>
          </w:p>
        </w:tc>
        <w:tc>
          <w:tcPr>
            <w:tcW w:w="0" w:type="auto"/>
            <w:shd w:val="clear" w:color="auto" w:fill="auto"/>
            <w:hideMark/>
          </w:tcPr>
          <w:p w:rsidR="00993BED" w:rsidRPr="00993BED" w:rsidRDefault="00993BED" w:rsidP="00993BED">
            <w:pPr>
              <w:spacing w:after="0" w:line="240" w:lineRule="auto"/>
              <w:rPr>
                <w:rFonts w:ascii="Times New Roman" w:eastAsia="Times New Roman" w:hAnsi="Times New Roman" w:cs="Times New Roman"/>
                <w:sz w:val="24"/>
                <w:szCs w:val="24"/>
                <w:lang w:eastAsia="pl-PL"/>
              </w:rPr>
            </w:pPr>
            <w:r w:rsidRPr="00993BED">
              <w:rPr>
                <w:rFonts w:ascii="Times New Roman" w:eastAsia="Times New Roman" w:hAnsi="Times New Roman" w:cs="Times New Roman"/>
                <w:sz w:val="24"/>
                <w:szCs w:val="24"/>
                <w:lang w:eastAsia="pl-PL"/>
              </w:rPr>
              <w:lastRenderedPageBreak/>
              <w:t>1. przebieg łagodny – chory niewymagający tlenoterapii (SpO</w:t>
            </w:r>
            <w:r w:rsidRPr="00993BED">
              <w:rPr>
                <w:rFonts w:ascii="Times New Roman" w:eastAsia="Times New Roman" w:hAnsi="Times New Roman" w:cs="Times New Roman"/>
                <w:sz w:val="14"/>
                <w:szCs w:val="14"/>
                <w:vertAlign w:val="subscript"/>
                <w:lang w:eastAsia="pl-PL"/>
              </w:rPr>
              <w:t>2</w:t>
            </w:r>
            <w:r w:rsidRPr="00993BED">
              <w:rPr>
                <w:rFonts w:ascii="Times New Roman" w:eastAsia="Times New Roman" w:hAnsi="Times New Roman" w:cs="Times New Roman"/>
                <w:sz w:val="24"/>
                <w:szCs w:val="24"/>
                <w:lang w:eastAsia="pl-PL"/>
              </w:rPr>
              <w:t>≥95%)</w:t>
            </w:r>
            <w:r w:rsidRPr="00993BED">
              <w:rPr>
                <w:rFonts w:ascii="Times New Roman" w:eastAsia="Times New Roman" w:hAnsi="Times New Roman" w:cs="Times New Roman"/>
                <w:sz w:val="24"/>
                <w:szCs w:val="24"/>
                <w:lang w:eastAsia="pl-PL"/>
              </w:rPr>
              <w:br/>
              <w:t xml:space="preserve">2. przebieg </w:t>
            </w:r>
            <w:r w:rsidRPr="00993BED">
              <w:rPr>
                <w:rFonts w:ascii="Times New Roman" w:eastAsia="Times New Roman" w:hAnsi="Times New Roman" w:cs="Times New Roman"/>
                <w:sz w:val="24"/>
                <w:szCs w:val="24"/>
                <w:lang w:eastAsia="pl-PL"/>
              </w:rPr>
              <w:lastRenderedPageBreak/>
              <w:t>ciężki – chory z SpO</w:t>
            </w:r>
            <w:r w:rsidRPr="00993BED">
              <w:rPr>
                <w:rFonts w:ascii="Times New Roman" w:eastAsia="Times New Roman" w:hAnsi="Times New Roman" w:cs="Times New Roman"/>
                <w:sz w:val="14"/>
                <w:szCs w:val="14"/>
                <w:vertAlign w:val="subscript"/>
                <w:lang w:eastAsia="pl-PL"/>
              </w:rPr>
              <w:t>2</w:t>
            </w:r>
            <w:r w:rsidRPr="00993BED">
              <w:rPr>
                <w:rFonts w:ascii="Times New Roman" w:eastAsia="Times New Roman" w:hAnsi="Times New Roman" w:cs="Times New Roman"/>
                <w:sz w:val="24"/>
                <w:szCs w:val="24"/>
                <w:lang w:eastAsia="pl-PL"/>
              </w:rPr>
              <w:t>≤94%</w:t>
            </w:r>
            <w:r w:rsidRPr="00993BED">
              <w:rPr>
                <w:rFonts w:ascii="Times New Roman" w:eastAsia="Times New Roman" w:hAnsi="Times New Roman" w:cs="Times New Roman"/>
                <w:sz w:val="14"/>
                <w:szCs w:val="14"/>
                <w:vertAlign w:val="superscript"/>
                <w:lang w:eastAsia="pl-PL"/>
              </w:rPr>
              <w:t>a</w:t>
            </w:r>
            <w:r w:rsidRPr="00993BED">
              <w:rPr>
                <w:rFonts w:ascii="Times New Roman" w:eastAsia="Times New Roman" w:hAnsi="Times New Roman" w:cs="Times New Roman"/>
                <w:sz w:val="24"/>
                <w:szCs w:val="24"/>
                <w:lang w:eastAsia="pl-PL"/>
              </w:rPr>
              <w:t>, w tym wymagający tlenoterapii</w:t>
            </w:r>
            <w:r w:rsidRPr="00993BED">
              <w:rPr>
                <w:rFonts w:ascii="Times New Roman" w:eastAsia="Times New Roman" w:hAnsi="Times New Roman" w:cs="Times New Roman"/>
                <w:sz w:val="24"/>
                <w:szCs w:val="24"/>
                <w:lang w:eastAsia="pl-PL"/>
              </w:rPr>
              <w:br/>
              <w:t>3. przebieg krytyczny – chory wymagający inwazyjnej wentylacji mechanicznej lub ECMO (ARDS, sepsa, wstrząs septyczny)</w:t>
            </w:r>
          </w:p>
        </w:tc>
      </w:tr>
      <w:tr w:rsidR="00993BED" w:rsidRPr="00993BED" w:rsidTr="00993BED">
        <w:trPr>
          <w:tblCellSpacing w:w="15" w:type="dxa"/>
        </w:trPr>
        <w:tc>
          <w:tcPr>
            <w:tcW w:w="0" w:type="auto"/>
            <w:shd w:val="clear" w:color="auto" w:fill="auto"/>
            <w:hideMark/>
          </w:tcPr>
          <w:p w:rsidR="00993BED" w:rsidRPr="00993BED" w:rsidRDefault="00993BED" w:rsidP="00993BED">
            <w:pPr>
              <w:spacing w:after="0" w:line="240" w:lineRule="auto"/>
              <w:rPr>
                <w:rFonts w:ascii="Times New Roman" w:eastAsia="Times New Roman" w:hAnsi="Times New Roman" w:cs="Times New Roman"/>
                <w:sz w:val="24"/>
                <w:szCs w:val="24"/>
                <w:lang w:eastAsia="pl-PL"/>
              </w:rPr>
            </w:pPr>
            <w:r w:rsidRPr="00993BED">
              <w:rPr>
                <w:rFonts w:ascii="Times New Roman" w:eastAsia="Times New Roman" w:hAnsi="Times New Roman" w:cs="Times New Roman"/>
                <w:sz w:val="24"/>
                <w:szCs w:val="24"/>
                <w:lang w:eastAsia="pl-PL"/>
              </w:rPr>
              <w:lastRenderedPageBreak/>
              <w:t>zalecane leki przeciwwirusowe i immunomodulujące</w:t>
            </w:r>
          </w:p>
        </w:tc>
        <w:tc>
          <w:tcPr>
            <w:tcW w:w="0" w:type="auto"/>
            <w:shd w:val="clear" w:color="auto" w:fill="auto"/>
            <w:hideMark/>
          </w:tcPr>
          <w:p w:rsidR="00993BED" w:rsidRPr="00993BED" w:rsidRDefault="00993BED" w:rsidP="00993BED">
            <w:pPr>
              <w:spacing w:after="0" w:line="240" w:lineRule="auto"/>
              <w:rPr>
                <w:rFonts w:ascii="Times New Roman" w:eastAsia="Times New Roman" w:hAnsi="Times New Roman" w:cs="Times New Roman"/>
                <w:sz w:val="24"/>
                <w:szCs w:val="24"/>
                <w:lang w:eastAsia="pl-PL"/>
              </w:rPr>
            </w:pPr>
            <w:r w:rsidRPr="00993BED">
              <w:rPr>
                <w:rFonts w:ascii="Times New Roman" w:eastAsia="Times New Roman" w:hAnsi="Times New Roman" w:cs="Times New Roman"/>
                <w:sz w:val="24"/>
                <w:szCs w:val="24"/>
                <w:lang w:eastAsia="pl-PL"/>
              </w:rPr>
              <w:t xml:space="preserve">– GKS: </w:t>
            </w:r>
            <w:proofErr w:type="spellStart"/>
            <w:r w:rsidRPr="00993BED">
              <w:rPr>
                <w:rFonts w:ascii="Times New Roman" w:eastAsia="Times New Roman" w:hAnsi="Times New Roman" w:cs="Times New Roman"/>
                <w:sz w:val="24"/>
                <w:szCs w:val="24"/>
                <w:lang w:eastAsia="pl-PL"/>
              </w:rPr>
              <w:t>deksametazon</w:t>
            </w:r>
            <w:proofErr w:type="spellEnd"/>
            <w:r w:rsidRPr="00993BED">
              <w:rPr>
                <w:rFonts w:ascii="Times New Roman" w:eastAsia="Times New Roman" w:hAnsi="Times New Roman" w:cs="Times New Roman"/>
                <w:sz w:val="24"/>
                <w:szCs w:val="24"/>
                <w:lang w:eastAsia="pl-PL"/>
              </w:rPr>
              <w:t xml:space="preserve"> lub </w:t>
            </w:r>
            <w:proofErr w:type="spellStart"/>
            <w:r w:rsidRPr="00993BED">
              <w:rPr>
                <w:rFonts w:ascii="Times New Roman" w:eastAsia="Times New Roman" w:hAnsi="Times New Roman" w:cs="Times New Roman"/>
                <w:sz w:val="24"/>
                <w:szCs w:val="24"/>
                <w:lang w:eastAsia="pl-PL"/>
              </w:rPr>
              <w:t>metyloprednizolon</w:t>
            </w:r>
            <w:proofErr w:type="spellEnd"/>
            <w:r w:rsidRPr="00993BED">
              <w:rPr>
                <w:rFonts w:ascii="Times New Roman" w:eastAsia="Times New Roman" w:hAnsi="Times New Roman" w:cs="Times New Roman"/>
                <w:sz w:val="24"/>
                <w:szCs w:val="24"/>
                <w:lang w:eastAsia="pl-PL"/>
              </w:rPr>
              <w:br/>
              <w:t xml:space="preserve">– </w:t>
            </w:r>
            <w:proofErr w:type="spellStart"/>
            <w:r w:rsidRPr="00993BED">
              <w:rPr>
                <w:rFonts w:ascii="Times New Roman" w:eastAsia="Times New Roman" w:hAnsi="Times New Roman" w:cs="Times New Roman"/>
                <w:sz w:val="24"/>
                <w:szCs w:val="24"/>
                <w:lang w:eastAsia="pl-PL"/>
              </w:rPr>
              <w:t>remdesiwir</w:t>
            </w:r>
            <w:proofErr w:type="spellEnd"/>
            <w:r w:rsidRPr="00993BED">
              <w:rPr>
                <w:rFonts w:ascii="Times New Roman" w:eastAsia="Times New Roman" w:hAnsi="Times New Roman" w:cs="Times New Roman"/>
                <w:sz w:val="24"/>
                <w:szCs w:val="24"/>
                <w:lang w:eastAsia="pl-PL"/>
              </w:rPr>
              <w:br/>
              <w:t xml:space="preserve">– </w:t>
            </w:r>
            <w:proofErr w:type="spellStart"/>
            <w:r w:rsidRPr="00993BED">
              <w:rPr>
                <w:rFonts w:ascii="Times New Roman" w:eastAsia="Times New Roman" w:hAnsi="Times New Roman" w:cs="Times New Roman"/>
                <w:sz w:val="24"/>
                <w:szCs w:val="24"/>
                <w:lang w:eastAsia="pl-PL"/>
              </w:rPr>
              <w:t>tocilizumab</w:t>
            </w:r>
            <w:proofErr w:type="spellEnd"/>
            <w:r w:rsidRPr="00993BED">
              <w:rPr>
                <w:rFonts w:ascii="Times New Roman" w:eastAsia="Times New Roman" w:hAnsi="Times New Roman" w:cs="Times New Roman"/>
                <w:sz w:val="24"/>
                <w:szCs w:val="24"/>
                <w:lang w:eastAsia="pl-PL"/>
              </w:rPr>
              <w:br/>
              <w:t>– osocze ozdrowieńców</w:t>
            </w:r>
          </w:p>
        </w:tc>
        <w:tc>
          <w:tcPr>
            <w:tcW w:w="0" w:type="auto"/>
            <w:shd w:val="clear" w:color="auto" w:fill="auto"/>
            <w:hideMark/>
          </w:tcPr>
          <w:p w:rsidR="00993BED" w:rsidRPr="00993BED" w:rsidRDefault="00993BED" w:rsidP="00993BED">
            <w:pPr>
              <w:spacing w:after="0" w:line="240" w:lineRule="auto"/>
              <w:rPr>
                <w:rFonts w:ascii="Times New Roman" w:eastAsia="Times New Roman" w:hAnsi="Times New Roman" w:cs="Times New Roman"/>
                <w:sz w:val="24"/>
                <w:szCs w:val="24"/>
                <w:lang w:eastAsia="pl-PL"/>
              </w:rPr>
            </w:pPr>
            <w:r w:rsidRPr="00993BED">
              <w:rPr>
                <w:rFonts w:ascii="Times New Roman" w:eastAsia="Times New Roman" w:hAnsi="Times New Roman" w:cs="Times New Roman"/>
                <w:sz w:val="24"/>
                <w:szCs w:val="24"/>
                <w:lang w:eastAsia="pl-PL"/>
              </w:rPr>
              <w:t xml:space="preserve">GKS: </w:t>
            </w:r>
            <w:proofErr w:type="spellStart"/>
            <w:r w:rsidRPr="00993BED">
              <w:rPr>
                <w:rFonts w:ascii="Times New Roman" w:eastAsia="Times New Roman" w:hAnsi="Times New Roman" w:cs="Times New Roman"/>
                <w:sz w:val="24"/>
                <w:szCs w:val="24"/>
                <w:lang w:eastAsia="pl-PL"/>
              </w:rPr>
              <w:t>deksametazon</w:t>
            </w:r>
            <w:proofErr w:type="spellEnd"/>
            <w:r w:rsidRPr="00993BED">
              <w:rPr>
                <w:rFonts w:ascii="Times New Roman" w:eastAsia="Times New Roman" w:hAnsi="Times New Roman" w:cs="Times New Roman"/>
                <w:sz w:val="24"/>
                <w:szCs w:val="24"/>
                <w:lang w:eastAsia="pl-PL"/>
              </w:rPr>
              <w:t xml:space="preserve"> lub </w:t>
            </w:r>
            <w:proofErr w:type="spellStart"/>
            <w:r w:rsidRPr="00993BED">
              <w:rPr>
                <w:rFonts w:ascii="Times New Roman" w:eastAsia="Times New Roman" w:hAnsi="Times New Roman" w:cs="Times New Roman"/>
                <w:sz w:val="24"/>
                <w:szCs w:val="24"/>
                <w:lang w:eastAsia="pl-PL"/>
              </w:rPr>
              <w:t>hydrokortyzon</w:t>
            </w:r>
            <w:proofErr w:type="spellEnd"/>
            <w:r w:rsidRPr="00993BED">
              <w:rPr>
                <w:rFonts w:ascii="Times New Roman" w:eastAsia="Times New Roman" w:hAnsi="Times New Roman" w:cs="Times New Roman"/>
                <w:sz w:val="24"/>
                <w:szCs w:val="24"/>
                <w:lang w:eastAsia="pl-PL"/>
              </w:rPr>
              <w:t xml:space="preserve">, lub </w:t>
            </w:r>
            <w:proofErr w:type="spellStart"/>
            <w:r w:rsidRPr="00993BED">
              <w:rPr>
                <w:rFonts w:ascii="Times New Roman" w:eastAsia="Times New Roman" w:hAnsi="Times New Roman" w:cs="Times New Roman"/>
                <w:sz w:val="24"/>
                <w:szCs w:val="24"/>
                <w:lang w:eastAsia="pl-PL"/>
              </w:rPr>
              <w:t>prednizon</w:t>
            </w:r>
            <w:proofErr w:type="spellEnd"/>
            <w:r w:rsidRPr="00993BED">
              <w:rPr>
                <w:rFonts w:ascii="Times New Roman" w:eastAsia="Times New Roman" w:hAnsi="Times New Roman" w:cs="Times New Roman"/>
                <w:sz w:val="24"/>
                <w:szCs w:val="24"/>
                <w:lang w:eastAsia="pl-PL"/>
              </w:rPr>
              <w:t xml:space="preserve">, lub </w:t>
            </w:r>
            <w:proofErr w:type="spellStart"/>
            <w:r w:rsidRPr="00993BED">
              <w:rPr>
                <w:rFonts w:ascii="Times New Roman" w:eastAsia="Times New Roman" w:hAnsi="Times New Roman" w:cs="Times New Roman"/>
                <w:sz w:val="24"/>
                <w:szCs w:val="24"/>
                <w:lang w:eastAsia="pl-PL"/>
              </w:rPr>
              <w:t>metyloprednizolon</w:t>
            </w:r>
            <w:proofErr w:type="spellEnd"/>
          </w:p>
        </w:tc>
        <w:tc>
          <w:tcPr>
            <w:tcW w:w="0" w:type="auto"/>
            <w:shd w:val="clear" w:color="auto" w:fill="auto"/>
            <w:hideMark/>
          </w:tcPr>
          <w:p w:rsidR="00993BED" w:rsidRPr="00993BED" w:rsidRDefault="00993BED" w:rsidP="00993BED">
            <w:pPr>
              <w:spacing w:after="0" w:line="240" w:lineRule="auto"/>
              <w:rPr>
                <w:rFonts w:ascii="Times New Roman" w:eastAsia="Times New Roman" w:hAnsi="Times New Roman" w:cs="Times New Roman"/>
                <w:sz w:val="24"/>
                <w:szCs w:val="24"/>
                <w:lang w:eastAsia="pl-PL"/>
              </w:rPr>
            </w:pPr>
            <w:r w:rsidRPr="00993BED">
              <w:rPr>
                <w:rFonts w:ascii="Times New Roman" w:eastAsia="Times New Roman" w:hAnsi="Times New Roman" w:cs="Times New Roman"/>
                <w:sz w:val="24"/>
                <w:szCs w:val="24"/>
                <w:lang w:eastAsia="pl-PL"/>
              </w:rPr>
              <w:t xml:space="preserve">– GKS: </w:t>
            </w:r>
            <w:proofErr w:type="spellStart"/>
            <w:r w:rsidRPr="00993BED">
              <w:rPr>
                <w:rFonts w:ascii="Times New Roman" w:eastAsia="Times New Roman" w:hAnsi="Times New Roman" w:cs="Times New Roman"/>
                <w:sz w:val="24"/>
                <w:szCs w:val="24"/>
                <w:lang w:eastAsia="pl-PL"/>
              </w:rPr>
              <w:t>deksametazon</w:t>
            </w:r>
            <w:proofErr w:type="spellEnd"/>
            <w:r w:rsidRPr="00993BED">
              <w:rPr>
                <w:rFonts w:ascii="Times New Roman" w:eastAsia="Times New Roman" w:hAnsi="Times New Roman" w:cs="Times New Roman"/>
                <w:sz w:val="24"/>
                <w:szCs w:val="24"/>
                <w:lang w:eastAsia="pl-PL"/>
              </w:rPr>
              <w:t xml:space="preserve">, a jeśli jest niedostępny – </w:t>
            </w:r>
            <w:proofErr w:type="spellStart"/>
            <w:r w:rsidRPr="00993BED">
              <w:rPr>
                <w:rFonts w:ascii="Times New Roman" w:eastAsia="Times New Roman" w:hAnsi="Times New Roman" w:cs="Times New Roman"/>
                <w:sz w:val="24"/>
                <w:szCs w:val="24"/>
                <w:lang w:eastAsia="pl-PL"/>
              </w:rPr>
              <w:t>hydrokortyzon</w:t>
            </w:r>
            <w:proofErr w:type="spellEnd"/>
            <w:r w:rsidRPr="00993BED">
              <w:rPr>
                <w:rFonts w:ascii="Times New Roman" w:eastAsia="Times New Roman" w:hAnsi="Times New Roman" w:cs="Times New Roman"/>
                <w:sz w:val="24"/>
                <w:szCs w:val="24"/>
                <w:lang w:eastAsia="pl-PL"/>
              </w:rPr>
              <w:t xml:space="preserve">, </w:t>
            </w:r>
            <w:proofErr w:type="spellStart"/>
            <w:r w:rsidRPr="00993BED">
              <w:rPr>
                <w:rFonts w:ascii="Times New Roman" w:eastAsia="Times New Roman" w:hAnsi="Times New Roman" w:cs="Times New Roman"/>
                <w:sz w:val="24"/>
                <w:szCs w:val="24"/>
                <w:lang w:eastAsia="pl-PL"/>
              </w:rPr>
              <w:t>prednizon</w:t>
            </w:r>
            <w:proofErr w:type="spellEnd"/>
            <w:r w:rsidRPr="00993BED">
              <w:rPr>
                <w:rFonts w:ascii="Times New Roman" w:eastAsia="Times New Roman" w:hAnsi="Times New Roman" w:cs="Times New Roman"/>
                <w:sz w:val="24"/>
                <w:szCs w:val="24"/>
                <w:lang w:eastAsia="pl-PL"/>
              </w:rPr>
              <w:t xml:space="preserve"> lub </w:t>
            </w:r>
            <w:proofErr w:type="spellStart"/>
            <w:r w:rsidRPr="00993BED">
              <w:rPr>
                <w:rFonts w:ascii="Times New Roman" w:eastAsia="Times New Roman" w:hAnsi="Times New Roman" w:cs="Times New Roman"/>
                <w:sz w:val="24"/>
                <w:szCs w:val="24"/>
                <w:lang w:eastAsia="pl-PL"/>
              </w:rPr>
              <w:t>metyloprednizolon</w:t>
            </w:r>
            <w:proofErr w:type="spellEnd"/>
            <w:r w:rsidRPr="00993BED">
              <w:rPr>
                <w:rFonts w:ascii="Times New Roman" w:eastAsia="Times New Roman" w:hAnsi="Times New Roman" w:cs="Times New Roman"/>
                <w:sz w:val="24"/>
                <w:szCs w:val="24"/>
                <w:lang w:eastAsia="pl-PL"/>
              </w:rPr>
              <w:br/>
              <w:t xml:space="preserve">– </w:t>
            </w:r>
            <w:proofErr w:type="spellStart"/>
            <w:r w:rsidRPr="00993BED">
              <w:rPr>
                <w:rFonts w:ascii="Times New Roman" w:eastAsia="Times New Roman" w:hAnsi="Times New Roman" w:cs="Times New Roman"/>
                <w:sz w:val="24"/>
                <w:szCs w:val="24"/>
                <w:lang w:eastAsia="pl-PL"/>
              </w:rPr>
              <w:t>remdesiwir</w:t>
            </w:r>
            <w:proofErr w:type="spellEnd"/>
          </w:p>
        </w:tc>
        <w:tc>
          <w:tcPr>
            <w:tcW w:w="0" w:type="auto"/>
            <w:shd w:val="clear" w:color="auto" w:fill="auto"/>
            <w:hideMark/>
          </w:tcPr>
          <w:p w:rsidR="00993BED" w:rsidRPr="00993BED" w:rsidRDefault="00993BED" w:rsidP="00993BED">
            <w:pPr>
              <w:spacing w:after="0" w:line="240" w:lineRule="auto"/>
              <w:rPr>
                <w:rFonts w:ascii="Times New Roman" w:eastAsia="Times New Roman" w:hAnsi="Times New Roman" w:cs="Times New Roman"/>
                <w:sz w:val="24"/>
                <w:szCs w:val="24"/>
                <w:lang w:eastAsia="pl-PL"/>
              </w:rPr>
            </w:pPr>
            <w:r w:rsidRPr="00993BED">
              <w:rPr>
                <w:rFonts w:ascii="Times New Roman" w:eastAsia="Times New Roman" w:hAnsi="Times New Roman" w:cs="Times New Roman"/>
                <w:sz w:val="24"/>
                <w:szCs w:val="24"/>
                <w:lang w:eastAsia="pl-PL"/>
              </w:rPr>
              <w:t xml:space="preserve">– GKS: </w:t>
            </w:r>
            <w:proofErr w:type="spellStart"/>
            <w:r w:rsidRPr="00993BED">
              <w:rPr>
                <w:rFonts w:ascii="Times New Roman" w:eastAsia="Times New Roman" w:hAnsi="Times New Roman" w:cs="Times New Roman"/>
                <w:sz w:val="24"/>
                <w:szCs w:val="24"/>
                <w:lang w:eastAsia="pl-PL"/>
              </w:rPr>
              <w:t>deksametazon</w:t>
            </w:r>
            <w:proofErr w:type="spellEnd"/>
            <w:r w:rsidRPr="00993BED">
              <w:rPr>
                <w:rFonts w:ascii="Times New Roman" w:eastAsia="Times New Roman" w:hAnsi="Times New Roman" w:cs="Times New Roman"/>
                <w:sz w:val="24"/>
                <w:szCs w:val="24"/>
                <w:lang w:eastAsia="pl-PL"/>
              </w:rPr>
              <w:t xml:space="preserve"> lub </w:t>
            </w:r>
            <w:proofErr w:type="spellStart"/>
            <w:r w:rsidRPr="00993BED">
              <w:rPr>
                <w:rFonts w:ascii="Times New Roman" w:eastAsia="Times New Roman" w:hAnsi="Times New Roman" w:cs="Times New Roman"/>
                <w:sz w:val="24"/>
                <w:szCs w:val="24"/>
                <w:lang w:eastAsia="pl-PL"/>
              </w:rPr>
              <w:t>prednizon</w:t>
            </w:r>
            <w:proofErr w:type="spellEnd"/>
            <w:r w:rsidRPr="00993BED">
              <w:rPr>
                <w:rFonts w:ascii="Times New Roman" w:eastAsia="Times New Roman" w:hAnsi="Times New Roman" w:cs="Times New Roman"/>
                <w:sz w:val="24"/>
                <w:szCs w:val="24"/>
                <w:lang w:eastAsia="pl-PL"/>
              </w:rPr>
              <w:t xml:space="preserve">, lub </w:t>
            </w:r>
            <w:proofErr w:type="spellStart"/>
            <w:r w:rsidRPr="00993BED">
              <w:rPr>
                <w:rFonts w:ascii="Times New Roman" w:eastAsia="Times New Roman" w:hAnsi="Times New Roman" w:cs="Times New Roman"/>
                <w:sz w:val="24"/>
                <w:szCs w:val="24"/>
                <w:lang w:eastAsia="pl-PL"/>
              </w:rPr>
              <w:t>metyloprednizolon</w:t>
            </w:r>
            <w:proofErr w:type="spellEnd"/>
            <w:r w:rsidRPr="00993BED">
              <w:rPr>
                <w:rFonts w:ascii="Times New Roman" w:eastAsia="Times New Roman" w:hAnsi="Times New Roman" w:cs="Times New Roman"/>
                <w:sz w:val="24"/>
                <w:szCs w:val="24"/>
                <w:lang w:eastAsia="pl-PL"/>
              </w:rPr>
              <w:br/>
              <w:t xml:space="preserve">– </w:t>
            </w:r>
            <w:proofErr w:type="spellStart"/>
            <w:r w:rsidRPr="00993BED">
              <w:rPr>
                <w:rFonts w:ascii="Times New Roman" w:eastAsia="Times New Roman" w:hAnsi="Times New Roman" w:cs="Times New Roman"/>
                <w:sz w:val="24"/>
                <w:szCs w:val="24"/>
                <w:lang w:eastAsia="pl-PL"/>
              </w:rPr>
              <w:t>remdesiwir</w:t>
            </w:r>
            <w:proofErr w:type="spellEnd"/>
          </w:p>
        </w:tc>
      </w:tr>
      <w:tr w:rsidR="00993BED" w:rsidRPr="00993BED" w:rsidTr="00993BED">
        <w:trPr>
          <w:tblCellSpacing w:w="15" w:type="dxa"/>
        </w:trPr>
        <w:tc>
          <w:tcPr>
            <w:tcW w:w="0" w:type="auto"/>
            <w:shd w:val="clear" w:color="auto" w:fill="auto"/>
            <w:hideMark/>
          </w:tcPr>
          <w:p w:rsidR="00993BED" w:rsidRPr="00993BED" w:rsidRDefault="00993BED" w:rsidP="00993BED">
            <w:pPr>
              <w:spacing w:after="0" w:line="240" w:lineRule="auto"/>
              <w:rPr>
                <w:rFonts w:ascii="Times New Roman" w:eastAsia="Times New Roman" w:hAnsi="Times New Roman" w:cs="Times New Roman"/>
                <w:sz w:val="24"/>
                <w:szCs w:val="24"/>
                <w:lang w:eastAsia="pl-PL"/>
              </w:rPr>
            </w:pPr>
            <w:r w:rsidRPr="00993BED">
              <w:rPr>
                <w:rFonts w:ascii="Times New Roman" w:eastAsia="Times New Roman" w:hAnsi="Times New Roman" w:cs="Times New Roman"/>
                <w:sz w:val="24"/>
                <w:szCs w:val="24"/>
                <w:lang w:eastAsia="pl-PL"/>
              </w:rPr>
              <w:t xml:space="preserve">wskazania do zastosowania </w:t>
            </w:r>
            <w:proofErr w:type="spellStart"/>
            <w:r w:rsidRPr="00993BED">
              <w:rPr>
                <w:rFonts w:ascii="Times New Roman" w:eastAsia="Times New Roman" w:hAnsi="Times New Roman" w:cs="Times New Roman"/>
                <w:sz w:val="24"/>
                <w:szCs w:val="24"/>
                <w:lang w:eastAsia="pl-PL"/>
              </w:rPr>
              <w:t>deksametazonu</w:t>
            </w:r>
            <w:proofErr w:type="spellEnd"/>
          </w:p>
        </w:tc>
        <w:tc>
          <w:tcPr>
            <w:tcW w:w="0" w:type="auto"/>
            <w:shd w:val="clear" w:color="auto" w:fill="auto"/>
            <w:hideMark/>
          </w:tcPr>
          <w:p w:rsidR="00993BED" w:rsidRPr="00993BED" w:rsidRDefault="00993BED" w:rsidP="00993BED">
            <w:pPr>
              <w:spacing w:after="0" w:line="240" w:lineRule="auto"/>
              <w:rPr>
                <w:rFonts w:ascii="Times New Roman" w:eastAsia="Times New Roman" w:hAnsi="Times New Roman" w:cs="Times New Roman"/>
                <w:sz w:val="24"/>
                <w:szCs w:val="24"/>
                <w:lang w:eastAsia="pl-PL"/>
              </w:rPr>
            </w:pPr>
            <w:r w:rsidRPr="00993BED">
              <w:rPr>
                <w:rFonts w:ascii="Times New Roman" w:eastAsia="Times New Roman" w:hAnsi="Times New Roman" w:cs="Times New Roman"/>
                <w:sz w:val="24"/>
                <w:szCs w:val="24"/>
                <w:lang w:eastAsia="pl-PL"/>
              </w:rPr>
              <w:t>chorzy wymagający hospitalizacji i tlenoterapii:</w:t>
            </w:r>
            <w:r w:rsidRPr="00993BED">
              <w:rPr>
                <w:rFonts w:ascii="Times New Roman" w:eastAsia="Times New Roman" w:hAnsi="Times New Roman" w:cs="Times New Roman"/>
                <w:sz w:val="24"/>
                <w:szCs w:val="24"/>
                <w:lang w:eastAsia="pl-PL"/>
              </w:rPr>
              <w:br/>
              <w:t>– w 2. stadium klinicznym (SpO</w:t>
            </w:r>
            <w:r w:rsidRPr="00993BED">
              <w:rPr>
                <w:rFonts w:ascii="Times New Roman" w:eastAsia="Times New Roman" w:hAnsi="Times New Roman" w:cs="Times New Roman"/>
                <w:sz w:val="14"/>
                <w:szCs w:val="14"/>
                <w:vertAlign w:val="subscript"/>
                <w:lang w:eastAsia="pl-PL"/>
              </w:rPr>
              <w:t>2</w:t>
            </w:r>
            <w:r w:rsidRPr="00993BED">
              <w:rPr>
                <w:rFonts w:ascii="Times New Roman" w:eastAsia="Times New Roman" w:hAnsi="Times New Roman" w:cs="Times New Roman"/>
                <w:sz w:val="24"/>
                <w:szCs w:val="24"/>
                <w:lang w:eastAsia="pl-PL"/>
              </w:rPr>
              <w:t xml:space="preserve">&lt;95%) </w:t>
            </w:r>
            <w:r w:rsidRPr="00993BED">
              <w:rPr>
                <w:rFonts w:ascii="Times New Roman" w:eastAsia="Times New Roman" w:hAnsi="Times New Roman" w:cs="Times New Roman"/>
                <w:sz w:val="24"/>
                <w:szCs w:val="24"/>
                <w:lang w:eastAsia="pl-PL"/>
              </w:rPr>
              <w:lastRenderedPageBreak/>
              <w:t xml:space="preserve">leczeni </w:t>
            </w:r>
            <w:proofErr w:type="spellStart"/>
            <w:r w:rsidRPr="00993BED">
              <w:rPr>
                <w:rFonts w:ascii="Times New Roman" w:eastAsia="Times New Roman" w:hAnsi="Times New Roman" w:cs="Times New Roman"/>
                <w:sz w:val="24"/>
                <w:szCs w:val="24"/>
                <w:lang w:eastAsia="pl-PL"/>
              </w:rPr>
              <w:t>remdesiwirem</w:t>
            </w:r>
            <w:proofErr w:type="spellEnd"/>
            <w:r w:rsidRPr="00993BED">
              <w:rPr>
                <w:rFonts w:ascii="Times New Roman" w:eastAsia="Times New Roman" w:hAnsi="Times New Roman" w:cs="Times New Roman"/>
                <w:sz w:val="24"/>
                <w:szCs w:val="24"/>
                <w:lang w:eastAsia="pl-PL"/>
              </w:rPr>
              <w:br/>
              <w:t>– w 3. i 4. stadium klinicznym (SpO</w:t>
            </w:r>
            <w:r w:rsidRPr="00993BED">
              <w:rPr>
                <w:rFonts w:ascii="Times New Roman" w:eastAsia="Times New Roman" w:hAnsi="Times New Roman" w:cs="Times New Roman"/>
                <w:sz w:val="14"/>
                <w:szCs w:val="14"/>
                <w:vertAlign w:val="subscript"/>
                <w:lang w:eastAsia="pl-PL"/>
              </w:rPr>
              <w:t>2</w:t>
            </w:r>
            <w:r w:rsidRPr="00993BED">
              <w:rPr>
                <w:rFonts w:ascii="Times New Roman" w:eastAsia="Times New Roman" w:hAnsi="Times New Roman" w:cs="Times New Roman"/>
                <w:sz w:val="24"/>
                <w:szCs w:val="24"/>
                <w:lang w:eastAsia="pl-PL"/>
              </w:rPr>
              <w:t>&lt;90%)</w:t>
            </w:r>
          </w:p>
        </w:tc>
        <w:tc>
          <w:tcPr>
            <w:tcW w:w="0" w:type="auto"/>
            <w:shd w:val="clear" w:color="auto" w:fill="auto"/>
            <w:hideMark/>
          </w:tcPr>
          <w:p w:rsidR="00993BED" w:rsidRPr="00993BED" w:rsidRDefault="00993BED" w:rsidP="00993BED">
            <w:pPr>
              <w:spacing w:after="0" w:line="240" w:lineRule="auto"/>
              <w:rPr>
                <w:rFonts w:ascii="Times New Roman" w:eastAsia="Times New Roman" w:hAnsi="Times New Roman" w:cs="Times New Roman"/>
                <w:sz w:val="24"/>
                <w:szCs w:val="24"/>
                <w:lang w:eastAsia="pl-PL"/>
              </w:rPr>
            </w:pPr>
            <w:r w:rsidRPr="00993BED">
              <w:rPr>
                <w:rFonts w:ascii="Times New Roman" w:eastAsia="Times New Roman" w:hAnsi="Times New Roman" w:cs="Times New Roman"/>
                <w:sz w:val="24"/>
                <w:szCs w:val="24"/>
                <w:lang w:eastAsia="pl-PL"/>
              </w:rPr>
              <w:lastRenderedPageBreak/>
              <w:t>chorzy z ciężkim i krytycznym przebiegiem (SpO</w:t>
            </w:r>
            <w:r w:rsidRPr="00993BED">
              <w:rPr>
                <w:rFonts w:ascii="Times New Roman" w:eastAsia="Times New Roman" w:hAnsi="Times New Roman" w:cs="Times New Roman"/>
                <w:sz w:val="14"/>
                <w:szCs w:val="14"/>
                <w:vertAlign w:val="subscript"/>
                <w:lang w:eastAsia="pl-PL"/>
              </w:rPr>
              <w:t>2</w:t>
            </w:r>
            <w:r w:rsidRPr="00993BED">
              <w:rPr>
                <w:rFonts w:ascii="Times New Roman" w:eastAsia="Times New Roman" w:hAnsi="Times New Roman" w:cs="Times New Roman"/>
                <w:sz w:val="24"/>
                <w:szCs w:val="24"/>
                <w:lang w:eastAsia="pl-PL"/>
              </w:rPr>
              <w:t xml:space="preserve"> &lt;90%), także ci, którzy nie mogą być przyjęci do szpitala lub </w:t>
            </w:r>
            <w:r w:rsidRPr="00993BED">
              <w:rPr>
                <w:rFonts w:ascii="Times New Roman" w:eastAsia="Times New Roman" w:hAnsi="Times New Roman" w:cs="Times New Roman"/>
                <w:sz w:val="24"/>
                <w:szCs w:val="24"/>
                <w:lang w:eastAsia="pl-PL"/>
              </w:rPr>
              <w:lastRenderedPageBreak/>
              <w:t>otrzymać tlenoterapii ze względu na ograniczone zasoby systemu opieki zdrowotnej</w:t>
            </w:r>
          </w:p>
        </w:tc>
        <w:tc>
          <w:tcPr>
            <w:tcW w:w="0" w:type="auto"/>
            <w:shd w:val="clear" w:color="auto" w:fill="auto"/>
            <w:hideMark/>
          </w:tcPr>
          <w:p w:rsidR="00993BED" w:rsidRPr="00993BED" w:rsidRDefault="00993BED" w:rsidP="00993BED">
            <w:pPr>
              <w:spacing w:after="0" w:line="240" w:lineRule="auto"/>
              <w:rPr>
                <w:rFonts w:ascii="Times New Roman" w:eastAsia="Times New Roman" w:hAnsi="Times New Roman" w:cs="Times New Roman"/>
                <w:sz w:val="24"/>
                <w:szCs w:val="24"/>
                <w:lang w:eastAsia="pl-PL"/>
              </w:rPr>
            </w:pPr>
            <w:r w:rsidRPr="00993BED">
              <w:rPr>
                <w:rFonts w:ascii="Times New Roman" w:eastAsia="Times New Roman" w:hAnsi="Times New Roman" w:cs="Times New Roman"/>
                <w:sz w:val="24"/>
                <w:szCs w:val="24"/>
                <w:lang w:eastAsia="pl-PL"/>
              </w:rPr>
              <w:lastRenderedPageBreak/>
              <w:t>chorzy wymagający tlenoterapii; zalecany także w </w:t>
            </w:r>
            <w:proofErr w:type="spellStart"/>
            <w:r w:rsidRPr="00993BED">
              <w:rPr>
                <w:rFonts w:ascii="Times New Roman" w:eastAsia="Times New Roman" w:hAnsi="Times New Roman" w:cs="Times New Roman"/>
                <w:sz w:val="24"/>
                <w:szCs w:val="24"/>
                <w:lang w:eastAsia="pl-PL"/>
              </w:rPr>
              <w:t>monoterapii</w:t>
            </w:r>
            <w:proofErr w:type="spellEnd"/>
            <w:r w:rsidRPr="00993BED">
              <w:rPr>
                <w:rFonts w:ascii="Times New Roman" w:eastAsia="Times New Roman" w:hAnsi="Times New Roman" w:cs="Times New Roman"/>
                <w:sz w:val="24"/>
                <w:szCs w:val="24"/>
                <w:lang w:eastAsia="pl-PL"/>
              </w:rPr>
              <w:t xml:space="preserve">, jeśli nie można </w:t>
            </w:r>
            <w:r w:rsidRPr="00993BED">
              <w:rPr>
                <w:rFonts w:ascii="Times New Roman" w:eastAsia="Times New Roman" w:hAnsi="Times New Roman" w:cs="Times New Roman"/>
                <w:sz w:val="24"/>
                <w:szCs w:val="24"/>
                <w:lang w:eastAsia="pl-PL"/>
              </w:rPr>
              <w:lastRenderedPageBreak/>
              <w:t xml:space="preserve">zastosować </w:t>
            </w:r>
            <w:proofErr w:type="spellStart"/>
            <w:r w:rsidRPr="00993BED">
              <w:rPr>
                <w:rFonts w:ascii="Times New Roman" w:eastAsia="Times New Roman" w:hAnsi="Times New Roman" w:cs="Times New Roman"/>
                <w:sz w:val="24"/>
                <w:szCs w:val="24"/>
                <w:lang w:eastAsia="pl-PL"/>
              </w:rPr>
              <w:t>remdesiwiru</w:t>
            </w:r>
            <w:proofErr w:type="spellEnd"/>
          </w:p>
        </w:tc>
        <w:tc>
          <w:tcPr>
            <w:tcW w:w="0" w:type="auto"/>
            <w:shd w:val="clear" w:color="auto" w:fill="auto"/>
            <w:hideMark/>
          </w:tcPr>
          <w:p w:rsidR="00993BED" w:rsidRPr="00993BED" w:rsidRDefault="00993BED" w:rsidP="00993BED">
            <w:pPr>
              <w:spacing w:after="0" w:line="240" w:lineRule="auto"/>
              <w:rPr>
                <w:rFonts w:ascii="Times New Roman" w:eastAsia="Times New Roman" w:hAnsi="Times New Roman" w:cs="Times New Roman"/>
                <w:sz w:val="24"/>
                <w:szCs w:val="24"/>
                <w:lang w:eastAsia="pl-PL"/>
              </w:rPr>
            </w:pPr>
            <w:r w:rsidRPr="00993BED">
              <w:rPr>
                <w:rFonts w:ascii="Times New Roman" w:eastAsia="Times New Roman" w:hAnsi="Times New Roman" w:cs="Times New Roman"/>
                <w:sz w:val="24"/>
                <w:szCs w:val="24"/>
                <w:lang w:eastAsia="pl-PL"/>
              </w:rPr>
              <w:lastRenderedPageBreak/>
              <w:t>– chorzy hospitalizowani z </w:t>
            </w:r>
            <w:proofErr w:type="spellStart"/>
            <w:r w:rsidRPr="00993BED">
              <w:rPr>
                <w:rFonts w:ascii="Times New Roman" w:eastAsia="Times New Roman" w:hAnsi="Times New Roman" w:cs="Times New Roman"/>
                <w:sz w:val="24"/>
                <w:szCs w:val="24"/>
                <w:lang w:eastAsia="pl-PL"/>
              </w:rPr>
              <w:t>cięzkim</w:t>
            </w:r>
            <w:proofErr w:type="spellEnd"/>
            <w:r w:rsidRPr="00993BED">
              <w:rPr>
                <w:rFonts w:ascii="Times New Roman" w:eastAsia="Times New Roman" w:hAnsi="Times New Roman" w:cs="Times New Roman"/>
                <w:sz w:val="24"/>
                <w:szCs w:val="24"/>
                <w:lang w:eastAsia="pl-PL"/>
              </w:rPr>
              <w:t xml:space="preserve"> przebiegiem (SpO</w:t>
            </w:r>
            <w:r w:rsidRPr="00993BED">
              <w:rPr>
                <w:rFonts w:ascii="Times New Roman" w:eastAsia="Times New Roman" w:hAnsi="Times New Roman" w:cs="Times New Roman"/>
                <w:sz w:val="14"/>
                <w:szCs w:val="14"/>
                <w:vertAlign w:val="subscript"/>
                <w:lang w:eastAsia="pl-PL"/>
              </w:rPr>
              <w:t>2</w:t>
            </w:r>
            <w:r w:rsidRPr="00993BED">
              <w:rPr>
                <w:rFonts w:ascii="Times New Roman" w:eastAsia="Times New Roman" w:hAnsi="Times New Roman" w:cs="Times New Roman"/>
                <w:sz w:val="24"/>
                <w:szCs w:val="24"/>
                <w:lang w:eastAsia="pl-PL"/>
              </w:rPr>
              <w:t> ≤94%)</w:t>
            </w:r>
            <w:r w:rsidRPr="00993BED">
              <w:rPr>
                <w:rFonts w:ascii="Times New Roman" w:eastAsia="Times New Roman" w:hAnsi="Times New Roman" w:cs="Times New Roman"/>
                <w:sz w:val="24"/>
                <w:szCs w:val="24"/>
                <w:lang w:eastAsia="pl-PL"/>
              </w:rPr>
              <w:br/>
              <w:t xml:space="preserve">– chorzy hospitalizowani </w:t>
            </w:r>
            <w:r w:rsidRPr="00993BED">
              <w:rPr>
                <w:rFonts w:ascii="Times New Roman" w:eastAsia="Times New Roman" w:hAnsi="Times New Roman" w:cs="Times New Roman"/>
                <w:sz w:val="24"/>
                <w:szCs w:val="24"/>
                <w:lang w:eastAsia="pl-PL"/>
              </w:rPr>
              <w:lastRenderedPageBreak/>
              <w:t>w stanie krytycznym</w:t>
            </w:r>
          </w:p>
        </w:tc>
      </w:tr>
      <w:tr w:rsidR="00993BED" w:rsidRPr="00993BED" w:rsidTr="00993BED">
        <w:trPr>
          <w:tblCellSpacing w:w="15" w:type="dxa"/>
        </w:trPr>
        <w:tc>
          <w:tcPr>
            <w:tcW w:w="0" w:type="auto"/>
            <w:shd w:val="clear" w:color="auto" w:fill="auto"/>
            <w:hideMark/>
          </w:tcPr>
          <w:p w:rsidR="00993BED" w:rsidRPr="00993BED" w:rsidRDefault="00993BED" w:rsidP="00993BED">
            <w:pPr>
              <w:spacing w:after="0" w:line="240" w:lineRule="auto"/>
              <w:rPr>
                <w:rFonts w:ascii="Times New Roman" w:eastAsia="Times New Roman" w:hAnsi="Times New Roman" w:cs="Times New Roman"/>
                <w:sz w:val="24"/>
                <w:szCs w:val="24"/>
                <w:lang w:eastAsia="pl-PL"/>
              </w:rPr>
            </w:pPr>
            <w:r w:rsidRPr="00993BED">
              <w:rPr>
                <w:rFonts w:ascii="Times New Roman" w:eastAsia="Times New Roman" w:hAnsi="Times New Roman" w:cs="Times New Roman"/>
                <w:sz w:val="24"/>
                <w:szCs w:val="24"/>
                <w:lang w:eastAsia="pl-PL"/>
              </w:rPr>
              <w:lastRenderedPageBreak/>
              <w:t xml:space="preserve">dawkowanie </w:t>
            </w:r>
            <w:proofErr w:type="spellStart"/>
            <w:r w:rsidRPr="00993BED">
              <w:rPr>
                <w:rFonts w:ascii="Times New Roman" w:eastAsia="Times New Roman" w:hAnsi="Times New Roman" w:cs="Times New Roman"/>
                <w:sz w:val="24"/>
                <w:szCs w:val="24"/>
                <w:lang w:eastAsia="pl-PL"/>
              </w:rPr>
              <w:t>deksametazonu</w:t>
            </w:r>
            <w:proofErr w:type="spellEnd"/>
          </w:p>
        </w:tc>
        <w:tc>
          <w:tcPr>
            <w:tcW w:w="0" w:type="auto"/>
            <w:shd w:val="clear" w:color="auto" w:fill="auto"/>
            <w:hideMark/>
          </w:tcPr>
          <w:p w:rsidR="00993BED" w:rsidRPr="00993BED" w:rsidRDefault="00993BED" w:rsidP="00993BED">
            <w:pPr>
              <w:spacing w:after="0" w:line="240" w:lineRule="auto"/>
              <w:rPr>
                <w:rFonts w:ascii="Times New Roman" w:eastAsia="Times New Roman" w:hAnsi="Times New Roman" w:cs="Times New Roman"/>
                <w:sz w:val="24"/>
                <w:szCs w:val="24"/>
                <w:lang w:eastAsia="pl-PL"/>
              </w:rPr>
            </w:pPr>
            <w:r w:rsidRPr="00993BED">
              <w:rPr>
                <w:rFonts w:ascii="Times New Roman" w:eastAsia="Times New Roman" w:hAnsi="Times New Roman" w:cs="Times New Roman"/>
                <w:sz w:val="24"/>
                <w:szCs w:val="24"/>
                <w:lang w:eastAsia="pl-PL"/>
              </w:rPr>
              <w:t>– stadium 2: 4 mg/d </w:t>
            </w:r>
            <w:r w:rsidRPr="00993BED">
              <w:rPr>
                <w:rFonts w:ascii="Times New Roman" w:eastAsia="Times New Roman" w:hAnsi="Times New Roman" w:cs="Times New Roman"/>
                <w:i/>
                <w:iCs/>
                <w:sz w:val="24"/>
                <w:szCs w:val="24"/>
                <w:lang w:eastAsia="pl-PL"/>
              </w:rPr>
              <w:t>p.o.</w:t>
            </w:r>
            <w:r w:rsidRPr="00993BED">
              <w:rPr>
                <w:rFonts w:ascii="Times New Roman" w:eastAsia="Times New Roman" w:hAnsi="Times New Roman" w:cs="Times New Roman"/>
                <w:sz w:val="24"/>
                <w:szCs w:val="24"/>
                <w:lang w:eastAsia="pl-PL"/>
              </w:rPr>
              <w:t> lub </w:t>
            </w:r>
            <w:proofErr w:type="spellStart"/>
            <w:r w:rsidRPr="00993BED">
              <w:rPr>
                <w:rFonts w:ascii="Times New Roman" w:eastAsia="Times New Roman" w:hAnsi="Times New Roman" w:cs="Times New Roman"/>
                <w:i/>
                <w:iCs/>
                <w:sz w:val="24"/>
                <w:szCs w:val="24"/>
                <w:lang w:eastAsia="pl-PL"/>
              </w:rPr>
              <w:t>i.v</w:t>
            </w:r>
            <w:proofErr w:type="spellEnd"/>
            <w:r w:rsidRPr="00993BED">
              <w:rPr>
                <w:rFonts w:ascii="Times New Roman" w:eastAsia="Times New Roman" w:hAnsi="Times New Roman" w:cs="Times New Roman"/>
                <w:i/>
                <w:iCs/>
                <w:sz w:val="24"/>
                <w:szCs w:val="24"/>
                <w:lang w:eastAsia="pl-PL"/>
              </w:rPr>
              <w:t>.</w:t>
            </w:r>
            <w:r w:rsidRPr="00993BED">
              <w:rPr>
                <w:rFonts w:ascii="Times New Roman" w:eastAsia="Times New Roman" w:hAnsi="Times New Roman" w:cs="Times New Roman"/>
                <w:sz w:val="24"/>
                <w:szCs w:val="24"/>
                <w:lang w:eastAsia="pl-PL"/>
              </w:rPr>
              <w:t xml:space="preserve">, począwszy od 2.–5. doby stosowania </w:t>
            </w:r>
            <w:proofErr w:type="spellStart"/>
            <w:r w:rsidRPr="00993BED">
              <w:rPr>
                <w:rFonts w:ascii="Times New Roman" w:eastAsia="Times New Roman" w:hAnsi="Times New Roman" w:cs="Times New Roman"/>
                <w:sz w:val="24"/>
                <w:szCs w:val="24"/>
                <w:lang w:eastAsia="pl-PL"/>
              </w:rPr>
              <w:t>remdesiwiru</w:t>
            </w:r>
            <w:proofErr w:type="spellEnd"/>
            <w:r w:rsidRPr="00993BED">
              <w:rPr>
                <w:rFonts w:ascii="Times New Roman" w:eastAsia="Times New Roman" w:hAnsi="Times New Roman" w:cs="Times New Roman"/>
                <w:sz w:val="24"/>
                <w:szCs w:val="24"/>
                <w:lang w:eastAsia="pl-PL"/>
              </w:rPr>
              <w:t>, do końca 2. tyg. choroby</w:t>
            </w:r>
            <w:r w:rsidRPr="00993BED">
              <w:rPr>
                <w:rFonts w:ascii="Times New Roman" w:eastAsia="Times New Roman" w:hAnsi="Times New Roman" w:cs="Times New Roman"/>
                <w:sz w:val="24"/>
                <w:szCs w:val="24"/>
                <w:lang w:eastAsia="pl-PL"/>
              </w:rPr>
              <w:br/>
              <w:t>– stadium 3: 8 mg/d </w:t>
            </w:r>
            <w:proofErr w:type="spellStart"/>
            <w:r w:rsidRPr="00993BED">
              <w:rPr>
                <w:rFonts w:ascii="Times New Roman" w:eastAsia="Times New Roman" w:hAnsi="Times New Roman" w:cs="Times New Roman"/>
                <w:i/>
                <w:iCs/>
                <w:sz w:val="24"/>
                <w:szCs w:val="24"/>
                <w:lang w:eastAsia="pl-PL"/>
              </w:rPr>
              <w:t>i.v</w:t>
            </w:r>
            <w:proofErr w:type="spellEnd"/>
            <w:r w:rsidRPr="00993BED">
              <w:rPr>
                <w:rFonts w:ascii="Times New Roman" w:eastAsia="Times New Roman" w:hAnsi="Times New Roman" w:cs="Times New Roman"/>
                <w:i/>
                <w:iCs/>
                <w:sz w:val="24"/>
                <w:szCs w:val="24"/>
                <w:lang w:eastAsia="pl-PL"/>
              </w:rPr>
              <w:t>.</w:t>
            </w:r>
            <w:r w:rsidRPr="00993BED">
              <w:rPr>
                <w:rFonts w:ascii="Times New Roman" w:eastAsia="Times New Roman" w:hAnsi="Times New Roman" w:cs="Times New Roman"/>
                <w:sz w:val="24"/>
                <w:szCs w:val="24"/>
                <w:lang w:eastAsia="pl-PL"/>
              </w:rPr>
              <w:t> przez 5 dni, potem 4 mg/d przez ≥3 dni</w:t>
            </w:r>
            <w:r w:rsidRPr="00993BED">
              <w:rPr>
                <w:rFonts w:ascii="Times New Roman" w:eastAsia="Times New Roman" w:hAnsi="Times New Roman" w:cs="Times New Roman"/>
                <w:sz w:val="24"/>
                <w:szCs w:val="24"/>
                <w:lang w:eastAsia="pl-PL"/>
              </w:rPr>
              <w:br/>
              <w:t>– stadium 4: 24 mg/d </w:t>
            </w:r>
            <w:proofErr w:type="spellStart"/>
            <w:r w:rsidRPr="00993BED">
              <w:rPr>
                <w:rFonts w:ascii="Times New Roman" w:eastAsia="Times New Roman" w:hAnsi="Times New Roman" w:cs="Times New Roman"/>
                <w:i/>
                <w:iCs/>
                <w:sz w:val="24"/>
                <w:szCs w:val="24"/>
                <w:lang w:eastAsia="pl-PL"/>
              </w:rPr>
              <w:t>i.v</w:t>
            </w:r>
            <w:proofErr w:type="spellEnd"/>
            <w:r w:rsidRPr="00993BED">
              <w:rPr>
                <w:rFonts w:ascii="Times New Roman" w:eastAsia="Times New Roman" w:hAnsi="Times New Roman" w:cs="Times New Roman"/>
                <w:i/>
                <w:iCs/>
                <w:sz w:val="24"/>
                <w:szCs w:val="24"/>
                <w:lang w:eastAsia="pl-PL"/>
              </w:rPr>
              <w:t>.</w:t>
            </w:r>
            <w:r w:rsidRPr="00993BED">
              <w:rPr>
                <w:rFonts w:ascii="Times New Roman" w:eastAsia="Times New Roman" w:hAnsi="Times New Roman" w:cs="Times New Roman"/>
                <w:sz w:val="24"/>
                <w:szCs w:val="24"/>
                <w:lang w:eastAsia="pl-PL"/>
              </w:rPr>
              <w:t> przez 5 dni, potem 12 mg/d przez 3 dni, następnie 4 mg/d przez 2 dni</w:t>
            </w:r>
          </w:p>
        </w:tc>
        <w:tc>
          <w:tcPr>
            <w:tcW w:w="0" w:type="auto"/>
            <w:shd w:val="clear" w:color="auto" w:fill="auto"/>
            <w:hideMark/>
          </w:tcPr>
          <w:p w:rsidR="00993BED" w:rsidRPr="00993BED" w:rsidRDefault="00993BED" w:rsidP="00993BED">
            <w:pPr>
              <w:spacing w:after="0" w:line="240" w:lineRule="auto"/>
              <w:rPr>
                <w:rFonts w:ascii="Times New Roman" w:eastAsia="Times New Roman" w:hAnsi="Times New Roman" w:cs="Times New Roman"/>
                <w:sz w:val="24"/>
                <w:szCs w:val="24"/>
                <w:lang w:eastAsia="pl-PL"/>
              </w:rPr>
            </w:pPr>
            <w:r w:rsidRPr="00993BED">
              <w:rPr>
                <w:rFonts w:ascii="Times New Roman" w:eastAsia="Times New Roman" w:hAnsi="Times New Roman" w:cs="Times New Roman"/>
                <w:sz w:val="24"/>
                <w:szCs w:val="24"/>
                <w:lang w:eastAsia="pl-PL"/>
              </w:rPr>
              <w:t>6 mg/d </w:t>
            </w:r>
            <w:r w:rsidRPr="00993BED">
              <w:rPr>
                <w:rFonts w:ascii="Times New Roman" w:eastAsia="Times New Roman" w:hAnsi="Times New Roman" w:cs="Times New Roman"/>
                <w:i/>
                <w:iCs/>
                <w:sz w:val="24"/>
                <w:szCs w:val="24"/>
                <w:lang w:eastAsia="pl-PL"/>
              </w:rPr>
              <w:t>p.o.</w:t>
            </w:r>
            <w:r w:rsidRPr="00993BED">
              <w:rPr>
                <w:rFonts w:ascii="Times New Roman" w:eastAsia="Times New Roman" w:hAnsi="Times New Roman" w:cs="Times New Roman"/>
                <w:sz w:val="24"/>
                <w:szCs w:val="24"/>
                <w:lang w:eastAsia="pl-PL"/>
              </w:rPr>
              <w:t> lub </w:t>
            </w:r>
            <w:proofErr w:type="spellStart"/>
            <w:r w:rsidRPr="00993BED">
              <w:rPr>
                <w:rFonts w:ascii="Times New Roman" w:eastAsia="Times New Roman" w:hAnsi="Times New Roman" w:cs="Times New Roman"/>
                <w:i/>
                <w:iCs/>
                <w:sz w:val="24"/>
                <w:szCs w:val="24"/>
                <w:lang w:eastAsia="pl-PL"/>
              </w:rPr>
              <w:t>i.v</w:t>
            </w:r>
            <w:proofErr w:type="spellEnd"/>
            <w:r w:rsidRPr="00993BED">
              <w:rPr>
                <w:rFonts w:ascii="Times New Roman" w:eastAsia="Times New Roman" w:hAnsi="Times New Roman" w:cs="Times New Roman"/>
                <w:i/>
                <w:iCs/>
                <w:sz w:val="24"/>
                <w:szCs w:val="24"/>
                <w:lang w:eastAsia="pl-PL"/>
              </w:rPr>
              <w:t>.</w:t>
            </w:r>
            <w:r w:rsidRPr="00993BED">
              <w:rPr>
                <w:rFonts w:ascii="Times New Roman" w:eastAsia="Times New Roman" w:hAnsi="Times New Roman" w:cs="Times New Roman"/>
                <w:sz w:val="24"/>
                <w:szCs w:val="24"/>
                <w:lang w:eastAsia="pl-PL"/>
              </w:rPr>
              <w:t> przez 7–10 dni</w:t>
            </w:r>
          </w:p>
        </w:tc>
        <w:tc>
          <w:tcPr>
            <w:tcW w:w="0" w:type="auto"/>
            <w:shd w:val="clear" w:color="auto" w:fill="auto"/>
            <w:hideMark/>
          </w:tcPr>
          <w:p w:rsidR="00993BED" w:rsidRPr="00993BED" w:rsidRDefault="00993BED" w:rsidP="00993BED">
            <w:pPr>
              <w:spacing w:after="0" w:line="240" w:lineRule="auto"/>
              <w:rPr>
                <w:rFonts w:ascii="Times New Roman" w:eastAsia="Times New Roman" w:hAnsi="Times New Roman" w:cs="Times New Roman"/>
                <w:sz w:val="24"/>
                <w:szCs w:val="24"/>
                <w:lang w:eastAsia="pl-PL"/>
              </w:rPr>
            </w:pPr>
            <w:r w:rsidRPr="00993BED">
              <w:rPr>
                <w:rFonts w:ascii="Times New Roman" w:eastAsia="Times New Roman" w:hAnsi="Times New Roman" w:cs="Times New Roman"/>
                <w:sz w:val="24"/>
                <w:szCs w:val="24"/>
                <w:lang w:eastAsia="pl-PL"/>
              </w:rPr>
              <w:t>6 mg/d </w:t>
            </w:r>
            <w:r w:rsidRPr="00993BED">
              <w:rPr>
                <w:rFonts w:ascii="Times New Roman" w:eastAsia="Times New Roman" w:hAnsi="Times New Roman" w:cs="Times New Roman"/>
                <w:i/>
                <w:iCs/>
                <w:sz w:val="24"/>
                <w:szCs w:val="24"/>
                <w:lang w:eastAsia="pl-PL"/>
              </w:rPr>
              <w:t>p.o.</w:t>
            </w:r>
            <w:r w:rsidRPr="00993BED">
              <w:rPr>
                <w:rFonts w:ascii="Times New Roman" w:eastAsia="Times New Roman" w:hAnsi="Times New Roman" w:cs="Times New Roman"/>
                <w:sz w:val="24"/>
                <w:szCs w:val="24"/>
                <w:lang w:eastAsia="pl-PL"/>
              </w:rPr>
              <w:t> lub </w:t>
            </w:r>
            <w:proofErr w:type="spellStart"/>
            <w:r w:rsidRPr="00993BED">
              <w:rPr>
                <w:rFonts w:ascii="Times New Roman" w:eastAsia="Times New Roman" w:hAnsi="Times New Roman" w:cs="Times New Roman"/>
                <w:i/>
                <w:iCs/>
                <w:sz w:val="24"/>
                <w:szCs w:val="24"/>
                <w:lang w:eastAsia="pl-PL"/>
              </w:rPr>
              <w:t>i.v</w:t>
            </w:r>
            <w:proofErr w:type="spellEnd"/>
            <w:r w:rsidRPr="00993BED">
              <w:rPr>
                <w:rFonts w:ascii="Times New Roman" w:eastAsia="Times New Roman" w:hAnsi="Times New Roman" w:cs="Times New Roman"/>
                <w:i/>
                <w:iCs/>
                <w:sz w:val="24"/>
                <w:szCs w:val="24"/>
                <w:lang w:eastAsia="pl-PL"/>
              </w:rPr>
              <w:t>.</w:t>
            </w:r>
            <w:r w:rsidRPr="00993BED">
              <w:rPr>
                <w:rFonts w:ascii="Times New Roman" w:eastAsia="Times New Roman" w:hAnsi="Times New Roman" w:cs="Times New Roman"/>
                <w:sz w:val="24"/>
                <w:szCs w:val="24"/>
                <w:lang w:eastAsia="pl-PL"/>
              </w:rPr>
              <w:t> do 10 dni lub wypisu ze szpitala</w:t>
            </w:r>
          </w:p>
        </w:tc>
        <w:tc>
          <w:tcPr>
            <w:tcW w:w="0" w:type="auto"/>
            <w:shd w:val="clear" w:color="auto" w:fill="auto"/>
            <w:hideMark/>
          </w:tcPr>
          <w:p w:rsidR="00993BED" w:rsidRPr="00993BED" w:rsidRDefault="00993BED" w:rsidP="00993BED">
            <w:pPr>
              <w:spacing w:after="0" w:line="240" w:lineRule="auto"/>
              <w:rPr>
                <w:rFonts w:ascii="Times New Roman" w:eastAsia="Times New Roman" w:hAnsi="Times New Roman" w:cs="Times New Roman"/>
                <w:sz w:val="24"/>
                <w:szCs w:val="24"/>
                <w:lang w:eastAsia="pl-PL"/>
              </w:rPr>
            </w:pPr>
            <w:r w:rsidRPr="00993BED">
              <w:rPr>
                <w:rFonts w:ascii="Times New Roman" w:eastAsia="Times New Roman" w:hAnsi="Times New Roman" w:cs="Times New Roman"/>
                <w:sz w:val="24"/>
                <w:szCs w:val="24"/>
                <w:lang w:eastAsia="pl-PL"/>
              </w:rPr>
              <w:t>6 mg/d </w:t>
            </w:r>
            <w:r w:rsidRPr="00993BED">
              <w:rPr>
                <w:rFonts w:ascii="Times New Roman" w:eastAsia="Times New Roman" w:hAnsi="Times New Roman" w:cs="Times New Roman"/>
                <w:i/>
                <w:iCs/>
                <w:sz w:val="24"/>
                <w:szCs w:val="24"/>
                <w:lang w:eastAsia="pl-PL"/>
              </w:rPr>
              <w:t>p.o.</w:t>
            </w:r>
            <w:r w:rsidRPr="00993BED">
              <w:rPr>
                <w:rFonts w:ascii="Times New Roman" w:eastAsia="Times New Roman" w:hAnsi="Times New Roman" w:cs="Times New Roman"/>
                <w:sz w:val="24"/>
                <w:szCs w:val="24"/>
                <w:lang w:eastAsia="pl-PL"/>
              </w:rPr>
              <w:t> lub </w:t>
            </w:r>
            <w:proofErr w:type="spellStart"/>
            <w:r w:rsidRPr="00993BED">
              <w:rPr>
                <w:rFonts w:ascii="Times New Roman" w:eastAsia="Times New Roman" w:hAnsi="Times New Roman" w:cs="Times New Roman"/>
                <w:i/>
                <w:iCs/>
                <w:sz w:val="24"/>
                <w:szCs w:val="24"/>
                <w:lang w:eastAsia="pl-PL"/>
              </w:rPr>
              <w:t>i.v</w:t>
            </w:r>
            <w:proofErr w:type="spellEnd"/>
            <w:r w:rsidRPr="00993BED">
              <w:rPr>
                <w:rFonts w:ascii="Times New Roman" w:eastAsia="Times New Roman" w:hAnsi="Times New Roman" w:cs="Times New Roman"/>
                <w:i/>
                <w:iCs/>
                <w:sz w:val="24"/>
                <w:szCs w:val="24"/>
                <w:lang w:eastAsia="pl-PL"/>
              </w:rPr>
              <w:t>.</w:t>
            </w:r>
            <w:r w:rsidRPr="00993BED">
              <w:rPr>
                <w:rFonts w:ascii="Times New Roman" w:eastAsia="Times New Roman" w:hAnsi="Times New Roman" w:cs="Times New Roman"/>
                <w:sz w:val="24"/>
                <w:szCs w:val="24"/>
                <w:lang w:eastAsia="pl-PL"/>
              </w:rPr>
              <w:t> do 10 dni lub wypisu ze szpitala</w:t>
            </w:r>
          </w:p>
        </w:tc>
      </w:tr>
      <w:tr w:rsidR="00993BED" w:rsidRPr="00993BED" w:rsidTr="00993BED">
        <w:trPr>
          <w:tblCellSpacing w:w="15" w:type="dxa"/>
        </w:trPr>
        <w:tc>
          <w:tcPr>
            <w:tcW w:w="0" w:type="auto"/>
            <w:shd w:val="clear" w:color="auto" w:fill="auto"/>
            <w:hideMark/>
          </w:tcPr>
          <w:p w:rsidR="00993BED" w:rsidRPr="00993BED" w:rsidRDefault="00993BED" w:rsidP="00993BED">
            <w:pPr>
              <w:spacing w:after="0" w:line="240" w:lineRule="auto"/>
              <w:rPr>
                <w:rFonts w:ascii="Times New Roman" w:eastAsia="Times New Roman" w:hAnsi="Times New Roman" w:cs="Times New Roman"/>
                <w:sz w:val="24"/>
                <w:szCs w:val="24"/>
                <w:lang w:eastAsia="pl-PL"/>
              </w:rPr>
            </w:pPr>
            <w:r w:rsidRPr="00993BED">
              <w:rPr>
                <w:rFonts w:ascii="Times New Roman" w:eastAsia="Times New Roman" w:hAnsi="Times New Roman" w:cs="Times New Roman"/>
                <w:sz w:val="24"/>
                <w:szCs w:val="24"/>
                <w:lang w:eastAsia="pl-PL"/>
              </w:rPr>
              <w:t xml:space="preserve">wskazania do stosowania i zalecane dawkowanie </w:t>
            </w:r>
            <w:proofErr w:type="spellStart"/>
            <w:r w:rsidRPr="00993BED">
              <w:rPr>
                <w:rFonts w:ascii="Times New Roman" w:eastAsia="Times New Roman" w:hAnsi="Times New Roman" w:cs="Times New Roman"/>
                <w:sz w:val="24"/>
                <w:szCs w:val="24"/>
                <w:lang w:eastAsia="pl-PL"/>
              </w:rPr>
              <w:t>remdesiwiru</w:t>
            </w:r>
            <w:r w:rsidRPr="00993BED">
              <w:rPr>
                <w:rFonts w:ascii="Times New Roman" w:eastAsia="Times New Roman" w:hAnsi="Times New Roman" w:cs="Times New Roman"/>
                <w:sz w:val="14"/>
                <w:szCs w:val="14"/>
                <w:vertAlign w:val="superscript"/>
                <w:lang w:eastAsia="pl-PL"/>
              </w:rPr>
              <w:t>b</w:t>
            </w:r>
            <w:proofErr w:type="spellEnd"/>
          </w:p>
        </w:tc>
        <w:tc>
          <w:tcPr>
            <w:tcW w:w="0" w:type="auto"/>
            <w:shd w:val="clear" w:color="auto" w:fill="auto"/>
            <w:hideMark/>
          </w:tcPr>
          <w:p w:rsidR="00993BED" w:rsidRPr="00993BED" w:rsidRDefault="00993BED" w:rsidP="00993BED">
            <w:pPr>
              <w:spacing w:after="0" w:line="240" w:lineRule="auto"/>
              <w:rPr>
                <w:rFonts w:ascii="Times New Roman" w:eastAsia="Times New Roman" w:hAnsi="Times New Roman" w:cs="Times New Roman"/>
                <w:sz w:val="24"/>
                <w:szCs w:val="24"/>
                <w:lang w:eastAsia="pl-PL"/>
              </w:rPr>
            </w:pPr>
            <w:r w:rsidRPr="00993BED">
              <w:rPr>
                <w:rFonts w:ascii="Times New Roman" w:eastAsia="Times New Roman" w:hAnsi="Times New Roman" w:cs="Times New Roman"/>
                <w:sz w:val="24"/>
                <w:szCs w:val="24"/>
                <w:lang w:eastAsia="pl-PL"/>
              </w:rPr>
              <w:t>– chorzy w stadium 2.</w:t>
            </w:r>
            <w:r w:rsidRPr="00993BED">
              <w:rPr>
                <w:rFonts w:ascii="Times New Roman" w:eastAsia="Times New Roman" w:hAnsi="Times New Roman" w:cs="Times New Roman"/>
                <w:sz w:val="24"/>
                <w:szCs w:val="24"/>
                <w:lang w:eastAsia="pl-PL"/>
              </w:rPr>
              <w:br/>
              <w:t>– 200 mg </w:t>
            </w:r>
            <w:proofErr w:type="spellStart"/>
            <w:r w:rsidRPr="00993BED">
              <w:rPr>
                <w:rFonts w:ascii="Times New Roman" w:eastAsia="Times New Roman" w:hAnsi="Times New Roman" w:cs="Times New Roman"/>
                <w:i/>
                <w:iCs/>
                <w:sz w:val="24"/>
                <w:szCs w:val="24"/>
                <w:lang w:eastAsia="pl-PL"/>
              </w:rPr>
              <w:t>i.v</w:t>
            </w:r>
            <w:proofErr w:type="spellEnd"/>
            <w:r w:rsidRPr="00993BED">
              <w:rPr>
                <w:rFonts w:ascii="Times New Roman" w:eastAsia="Times New Roman" w:hAnsi="Times New Roman" w:cs="Times New Roman"/>
                <w:i/>
                <w:iCs/>
                <w:sz w:val="24"/>
                <w:szCs w:val="24"/>
                <w:lang w:eastAsia="pl-PL"/>
              </w:rPr>
              <w:t>.</w:t>
            </w:r>
            <w:r w:rsidRPr="00993BED">
              <w:rPr>
                <w:rFonts w:ascii="Times New Roman" w:eastAsia="Times New Roman" w:hAnsi="Times New Roman" w:cs="Times New Roman"/>
                <w:sz w:val="24"/>
                <w:szCs w:val="24"/>
                <w:lang w:eastAsia="pl-PL"/>
              </w:rPr>
              <w:t> 1. dnia, następnie 100 mg </w:t>
            </w:r>
            <w:proofErr w:type="spellStart"/>
            <w:r w:rsidRPr="00993BED">
              <w:rPr>
                <w:rFonts w:ascii="Times New Roman" w:eastAsia="Times New Roman" w:hAnsi="Times New Roman" w:cs="Times New Roman"/>
                <w:i/>
                <w:iCs/>
                <w:sz w:val="24"/>
                <w:szCs w:val="24"/>
                <w:lang w:eastAsia="pl-PL"/>
              </w:rPr>
              <w:t>i.v</w:t>
            </w:r>
            <w:proofErr w:type="spellEnd"/>
            <w:r w:rsidRPr="00993BED">
              <w:rPr>
                <w:rFonts w:ascii="Times New Roman" w:eastAsia="Times New Roman" w:hAnsi="Times New Roman" w:cs="Times New Roman"/>
                <w:i/>
                <w:iCs/>
                <w:sz w:val="24"/>
                <w:szCs w:val="24"/>
                <w:lang w:eastAsia="pl-PL"/>
              </w:rPr>
              <w:t>.</w:t>
            </w:r>
            <w:r w:rsidRPr="00993BED">
              <w:rPr>
                <w:rFonts w:ascii="Times New Roman" w:eastAsia="Times New Roman" w:hAnsi="Times New Roman" w:cs="Times New Roman"/>
                <w:sz w:val="24"/>
                <w:szCs w:val="24"/>
                <w:lang w:eastAsia="pl-PL"/>
              </w:rPr>
              <w:t> co 24 h przez 4 dni</w:t>
            </w:r>
          </w:p>
        </w:tc>
        <w:tc>
          <w:tcPr>
            <w:tcW w:w="0" w:type="auto"/>
            <w:shd w:val="clear" w:color="auto" w:fill="auto"/>
            <w:hideMark/>
          </w:tcPr>
          <w:p w:rsidR="00993BED" w:rsidRPr="00993BED" w:rsidRDefault="00993BED" w:rsidP="00993BED">
            <w:pPr>
              <w:spacing w:after="0" w:line="240" w:lineRule="auto"/>
              <w:rPr>
                <w:rFonts w:ascii="Times New Roman" w:eastAsia="Times New Roman" w:hAnsi="Times New Roman" w:cs="Times New Roman"/>
                <w:sz w:val="24"/>
                <w:szCs w:val="24"/>
                <w:lang w:eastAsia="pl-PL"/>
              </w:rPr>
            </w:pPr>
            <w:r w:rsidRPr="00993BED">
              <w:rPr>
                <w:rFonts w:ascii="Times New Roman" w:eastAsia="Times New Roman" w:hAnsi="Times New Roman" w:cs="Times New Roman"/>
                <w:sz w:val="24"/>
                <w:szCs w:val="24"/>
                <w:lang w:eastAsia="pl-PL"/>
              </w:rPr>
              <w:t>obecnie nie jest zalecany poza badaniami klinicznymi (w październiku 2020 r. WHO ogłosiła plan opublikowania nowych wytycznych w tym zakresie w ciągu kilku tygodni)</w:t>
            </w:r>
            <w:r w:rsidRPr="00993BED">
              <w:rPr>
                <w:rFonts w:ascii="Times New Roman" w:eastAsia="Times New Roman" w:hAnsi="Times New Roman" w:cs="Times New Roman"/>
                <w:sz w:val="14"/>
                <w:szCs w:val="14"/>
                <w:vertAlign w:val="superscript"/>
                <w:lang w:eastAsia="pl-PL"/>
              </w:rPr>
              <w:t>6</w:t>
            </w:r>
          </w:p>
        </w:tc>
        <w:tc>
          <w:tcPr>
            <w:tcW w:w="0" w:type="auto"/>
            <w:shd w:val="clear" w:color="auto" w:fill="auto"/>
            <w:hideMark/>
          </w:tcPr>
          <w:p w:rsidR="00993BED" w:rsidRPr="00993BED" w:rsidRDefault="00993BED" w:rsidP="00993BED">
            <w:pPr>
              <w:spacing w:after="0" w:line="240" w:lineRule="auto"/>
              <w:rPr>
                <w:rFonts w:ascii="Times New Roman" w:eastAsia="Times New Roman" w:hAnsi="Times New Roman" w:cs="Times New Roman"/>
                <w:sz w:val="24"/>
                <w:szCs w:val="24"/>
                <w:lang w:eastAsia="pl-PL"/>
              </w:rPr>
            </w:pPr>
            <w:r w:rsidRPr="00993BED">
              <w:rPr>
                <w:rFonts w:ascii="Times New Roman" w:eastAsia="Times New Roman" w:hAnsi="Times New Roman" w:cs="Times New Roman"/>
                <w:sz w:val="24"/>
                <w:szCs w:val="24"/>
                <w:lang w:eastAsia="pl-PL"/>
              </w:rPr>
              <w:t>– z uwagi na ograniczoną dostępność leku należy go stosować w pierwszej kolejności u chorych hospitalizowanych, wymagających tlenoterapii, ale nie tlenoterapii wysokoprzepływowej, nieinwazyjnej lub inwazyjnej wentylacji wspomaganej bądź ECMO (grupa 2.)</w:t>
            </w:r>
            <w:r w:rsidRPr="00993BED">
              <w:rPr>
                <w:rFonts w:ascii="Times New Roman" w:eastAsia="Times New Roman" w:hAnsi="Times New Roman" w:cs="Times New Roman"/>
                <w:sz w:val="24"/>
                <w:szCs w:val="24"/>
                <w:lang w:eastAsia="pl-PL"/>
              </w:rPr>
              <w:br/>
              <w:t>– 200 mg </w:t>
            </w:r>
            <w:proofErr w:type="spellStart"/>
            <w:r w:rsidRPr="00993BED">
              <w:rPr>
                <w:rFonts w:ascii="Times New Roman" w:eastAsia="Times New Roman" w:hAnsi="Times New Roman" w:cs="Times New Roman"/>
                <w:i/>
                <w:iCs/>
                <w:sz w:val="24"/>
                <w:szCs w:val="24"/>
                <w:lang w:eastAsia="pl-PL"/>
              </w:rPr>
              <w:t>i.v</w:t>
            </w:r>
            <w:proofErr w:type="spellEnd"/>
            <w:r w:rsidRPr="00993BED">
              <w:rPr>
                <w:rFonts w:ascii="Times New Roman" w:eastAsia="Times New Roman" w:hAnsi="Times New Roman" w:cs="Times New Roman"/>
                <w:i/>
                <w:iCs/>
                <w:sz w:val="24"/>
                <w:szCs w:val="24"/>
                <w:lang w:eastAsia="pl-PL"/>
              </w:rPr>
              <w:t>.</w:t>
            </w:r>
            <w:r w:rsidRPr="00993BED">
              <w:rPr>
                <w:rFonts w:ascii="Times New Roman" w:eastAsia="Times New Roman" w:hAnsi="Times New Roman" w:cs="Times New Roman"/>
                <w:sz w:val="24"/>
                <w:szCs w:val="24"/>
                <w:lang w:eastAsia="pl-PL"/>
              </w:rPr>
              <w:t> 1. dnia, następnie 100 mg </w:t>
            </w:r>
            <w:proofErr w:type="spellStart"/>
            <w:r w:rsidRPr="00993BED">
              <w:rPr>
                <w:rFonts w:ascii="Times New Roman" w:eastAsia="Times New Roman" w:hAnsi="Times New Roman" w:cs="Times New Roman"/>
                <w:i/>
                <w:iCs/>
                <w:sz w:val="24"/>
                <w:szCs w:val="24"/>
                <w:lang w:eastAsia="pl-PL"/>
              </w:rPr>
              <w:t>i.v</w:t>
            </w:r>
            <w:proofErr w:type="spellEnd"/>
            <w:r w:rsidRPr="00993BED">
              <w:rPr>
                <w:rFonts w:ascii="Times New Roman" w:eastAsia="Times New Roman" w:hAnsi="Times New Roman" w:cs="Times New Roman"/>
                <w:i/>
                <w:iCs/>
                <w:sz w:val="24"/>
                <w:szCs w:val="24"/>
                <w:lang w:eastAsia="pl-PL"/>
              </w:rPr>
              <w:t>.</w:t>
            </w:r>
            <w:r w:rsidRPr="00993BED">
              <w:rPr>
                <w:rFonts w:ascii="Times New Roman" w:eastAsia="Times New Roman" w:hAnsi="Times New Roman" w:cs="Times New Roman"/>
                <w:sz w:val="24"/>
                <w:szCs w:val="24"/>
                <w:lang w:eastAsia="pl-PL"/>
              </w:rPr>
              <w:t> co 24 h przez 4 dni lub do wypisu ze szpitala</w:t>
            </w:r>
          </w:p>
        </w:tc>
        <w:tc>
          <w:tcPr>
            <w:tcW w:w="0" w:type="auto"/>
            <w:shd w:val="clear" w:color="auto" w:fill="auto"/>
            <w:hideMark/>
          </w:tcPr>
          <w:p w:rsidR="00993BED" w:rsidRPr="00993BED" w:rsidRDefault="00993BED" w:rsidP="00993BED">
            <w:pPr>
              <w:spacing w:after="0" w:line="240" w:lineRule="auto"/>
              <w:rPr>
                <w:rFonts w:ascii="Times New Roman" w:eastAsia="Times New Roman" w:hAnsi="Times New Roman" w:cs="Times New Roman"/>
                <w:sz w:val="24"/>
                <w:szCs w:val="24"/>
                <w:lang w:eastAsia="pl-PL"/>
              </w:rPr>
            </w:pPr>
            <w:r w:rsidRPr="00993BED">
              <w:rPr>
                <w:rFonts w:ascii="Times New Roman" w:eastAsia="Times New Roman" w:hAnsi="Times New Roman" w:cs="Times New Roman"/>
                <w:sz w:val="24"/>
                <w:szCs w:val="24"/>
                <w:lang w:eastAsia="pl-PL"/>
              </w:rPr>
              <w:t>– chorzy hospitalizowani, wymagający tlenoterapii (SpO</w:t>
            </w:r>
            <w:r w:rsidRPr="00993BED">
              <w:rPr>
                <w:rFonts w:ascii="Times New Roman" w:eastAsia="Times New Roman" w:hAnsi="Times New Roman" w:cs="Times New Roman"/>
                <w:sz w:val="14"/>
                <w:szCs w:val="14"/>
                <w:vertAlign w:val="subscript"/>
                <w:lang w:eastAsia="pl-PL"/>
              </w:rPr>
              <w:t>2</w:t>
            </w:r>
            <w:r w:rsidRPr="00993BED">
              <w:rPr>
                <w:rFonts w:ascii="Times New Roman" w:eastAsia="Times New Roman" w:hAnsi="Times New Roman" w:cs="Times New Roman"/>
                <w:sz w:val="24"/>
                <w:szCs w:val="24"/>
                <w:lang w:eastAsia="pl-PL"/>
              </w:rPr>
              <w:t> ≤94%)</w:t>
            </w:r>
            <w:r w:rsidRPr="00993BED">
              <w:rPr>
                <w:rFonts w:ascii="Times New Roman" w:eastAsia="Times New Roman" w:hAnsi="Times New Roman" w:cs="Times New Roman"/>
                <w:sz w:val="24"/>
                <w:szCs w:val="24"/>
                <w:lang w:eastAsia="pl-PL"/>
              </w:rPr>
              <w:br/>
              <w:t>– 200 mg </w:t>
            </w:r>
            <w:proofErr w:type="spellStart"/>
            <w:r w:rsidRPr="00993BED">
              <w:rPr>
                <w:rFonts w:ascii="Times New Roman" w:eastAsia="Times New Roman" w:hAnsi="Times New Roman" w:cs="Times New Roman"/>
                <w:i/>
                <w:iCs/>
                <w:sz w:val="24"/>
                <w:szCs w:val="24"/>
                <w:lang w:eastAsia="pl-PL"/>
              </w:rPr>
              <w:t>i.v</w:t>
            </w:r>
            <w:proofErr w:type="spellEnd"/>
            <w:r w:rsidRPr="00993BED">
              <w:rPr>
                <w:rFonts w:ascii="Times New Roman" w:eastAsia="Times New Roman" w:hAnsi="Times New Roman" w:cs="Times New Roman"/>
                <w:i/>
                <w:iCs/>
                <w:sz w:val="24"/>
                <w:szCs w:val="24"/>
                <w:lang w:eastAsia="pl-PL"/>
              </w:rPr>
              <w:t>.</w:t>
            </w:r>
            <w:r w:rsidRPr="00993BED">
              <w:rPr>
                <w:rFonts w:ascii="Times New Roman" w:eastAsia="Times New Roman" w:hAnsi="Times New Roman" w:cs="Times New Roman"/>
                <w:sz w:val="24"/>
                <w:szCs w:val="24"/>
                <w:lang w:eastAsia="pl-PL"/>
              </w:rPr>
              <w:t> 1. dnia, następnie 100 mg </w:t>
            </w:r>
            <w:proofErr w:type="spellStart"/>
            <w:r w:rsidRPr="00993BED">
              <w:rPr>
                <w:rFonts w:ascii="Times New Roman" w:eastAsia="Times New Roman" w:hAnsi="Times New Roman" w:cs="Times New Roman"/>
                <w:i/>
                <w:iCs/>
                <w:sz w:val="24"/>
                <w:szCs w:val="24"/>
                <w:lang w:eastAsia="pl-PL"/>
              </w:rPr>
              <w:t>i.v</w:t>
            </w:r>
            <w:proofErr w:type="spellEnd"/>
            <w:r w:rsidRPr="00993BED">
              <w:rPr>
                <w:rFonts w:ascii="Times New Roman" w:eastAsia="Times New Roman" w:hAnsi="Times New Roman" w:cs="Times New Roman"/>
                <w:i/>
                <w:iCs/>
                <w:sz w:val="24"/>
                <w:szCs w:val="24"/>
                <w:lang w:eastAsia="pl-PL"/>
              </w:rPr>
              <w:t>.</w:t>
            </w:r>
            <w:r w:rsidRPr="00993BED">
              <w:rPr>
                <w:rFonts w:ascii="Times New Roman" w:eastAsia="Times New Roman" w:hAnsi="Times New Roman" w:cs="Times New Roman"/>
                <w:sz w:val="24"/>
                <w:szCs w:val="24"/>
                <w:lang w:eastAsia="pl-PL"/>
              </w:rPr>
              <w:t> co 24 h</w:t>
            </w:r>
            <w:r w:rsidRPr="00993BED">
              <w:rPr>
                <w:rFonts w:ascii="Times New Roman" w:eastAsia="Times New Roman" w:hAnsi="Times New Roman" w:cs="Times New Roman"/>
                <w:sz w:val="24"/>
                <w:szCs w:val="24"/>
                <w:lang w:eastAsia="pl-PL"/>
              </w:rPr>
              <w:br/>
              <w:t xml:space="preserve">– u chorych wymagających inwazyjnej wentylacji mechanicznej lub ECMO leczenie </w:t>
            </w:r>
            <w:proofErr w:type="spellStart"/>
            <w:r w:rsidRPr="00993BED">
              <w:rPr>
                <w:rFonts w:ascii="Times New Roman" w:eastAsia="Times New Roman" w:hAnsi="Times New Roman" w:cs="Times New Roman"/>
                <w:sz w:val="24"/>
                <w:szCs w:val="24"/>
                <w:lang w:eastAsia="pl-PL"/>
              </w:rPr>
              <w:t>remdesiwirem</w:t>
            </w:r>
            <w:proofErr w:type="spellEnd"/>
            <w:r w:rsidRPr="00993BED">
              <w:rPr>
                <w:rFonts w:ascii="Times New Roman" w:eastAsia="Times New Roman" w:hAnsi="Times New Roman" w:cs="Times New Roman"/>
                <w:sz w:val="24"/>
                <w:szCs w:val="24"/>
                <w:lang w:eastAsia="pl-PL"/>
              </w:rPr>
              <w:t xml:space="preserve"> powinno trwać 10 dni</w:t>
            </w:r>
            <w:r w:rsidRPr="00993BED">
              <w:rPr>
                <w:rFonts w:ascii="Times New Roman" w:eastAsia="Times New Roman" w:hAnsi="Times New Roman" w:cs="Times New Roman"/>
                <w:sz w:val="24"/>
                <w:szCs w:val="24"/>
                <w:lang w:eastAsia="pl-PL"/>
              </w:rPr>
              <w:br/>
              <w:t xml:space="preserve">– u chorych wymagających tlenoterapii, ale nie inwazyjnej wentylacji </w:t>
            </w:r>
            <w:r w:rsidRPr="00993BED">
              <w:rPr>
                <w:rFonts w:ascii="Times New Roman" w:eastAsia="Times New Roman" w:hAnsi="Times New Roman" w:cs="Times New Roman"/>
                <w:sz w:val="24"/>
                <w:szCs w:val="24"/>
                <w:lang w:eastAsia="pl-PL"/>
              </w:rPr>
              <w:lastRenderedPageBreak/>
              <w:t>mechanicznej lub ECMO zaleca się leczenie trwające raczej 5 dni niż 10</w:t>
            </w:r>
          </w:p>
        </w:tc>
      </w:tr>
      <w:tr w:rsidR="00993BED" w:rsidRPr="00993BED" w:rsidTr="00993BED">
        <w:trPr>
          <w:tblCellSpacing w:w="15" w:type="dxa"/>
        </w:trPr>
        <w:tc>
          <w:tcPr>
            <w:tcW w:w="0" w:type="auto"/>
            <w:shd w:val="clear" w:color="auto" w:fill="auto"/>
            <w:hideMark/>
          </w:tcPr>
          <w:p w:rsidR="00993BED" w:rsidRPr="00993BED" w:rsidRDefault="00993BED" w:rsidP="00993BED">
            <w:pPr>
              <w:spacing w:after="0" w:line="240" w:lineRule="auto"/>
              <w:rPr>
                <w:rFonts w:ascii="Times New Roman" w:eastAsia="Times New Roman" w:hAnsi="Times New Roman" w:cs="Times New Roman"/>
                <w:sz w:val="24"/>
                <w:szCs w:val="24"/>
                <w:lang w:eastAsia="pl-PL"/>
              </w:rPr>
            </w:pPr>
            <w:r w:rsidRPr="00993BED">
              <w:rPr>
                <w:rFonts w:ascii="Times New Roman" w:eastAsia="Times New Roman" w:hAnsi="Times New Roman" w:cs="Times New Roman"/>
                <w:sz w:val="24"/>
                <w:szCs w:val="24"/>
                <w:lang w:eastAsia="pl-PL"/>
              </w:rPr>
              <w:lastRenderedPageBreak/>
              <w:t>wskazania do profilaktyki zdarzeń zakrzepowo-zatorowych</w:t>
            </w:r>
          </w:p>
        </w:tc>
        <w:tc>
          <w:tcPr>
            <w:tcW w:w="0" w:type="auto"/>
            <w:shd w:val="clear" w:color="auto" w:fill="auto"/>
            <w:hideMark/>
          </w:tcPr>
          <w:p w:rsidR="00993BED" w:rsidRPr="00993BED" w:rsidRDefault="00993BED" w:rsidP="00993BED">
            <w:pPr>
              <w:spacing w:after="0" w:line="240" w:lineRule="auto"/>
              <w:rPr>
                <w:rFonts w:ascii="Times New Roman" w:eastAsia="Times New Roman" w:hAnsi="Times New Roman" w:cs="Times New Roman"/>
                <w:sz w:val="24"/>
                <w:szCs w:val="24"/>
                <w:lang w:eastAsia="pl-PL"/>
              </w:rPr>
            </w:pPr>
            <w:r w:rsidRPr="00993BED">
              <w:rPr>
                <w:rFonts w:ascii="Times New Roman" w:eastAsia="Times New Roman" w:hAnsi="Times New Roman" w:cs="Times New Roman"/>
                <w:sz w:val="24"/>
                <w:szCs w:val="24"/>
                <w:lang w:eastAsia="pl-PL"/>
              </w:rPr>
              <w:t xml:space="preserve">– chorzy w stadium 2. i 3.: </w:t>
            </w:r>
            <w:proofErr w:type="spellStart"/>
            <w:r w:rsidRPr="00993BED">
              <w:rPr>
                <w:rFonts w:ascii="Times New Roman" w:eastAsia="Times New Roman" w:hAnsi="Times New Roman" w:cs="Times New Roman"/>
                <w:sz w:val="24"/>
                <w:szCs w:val="24"/>
                <w:lang w:eastAsia="pl-PL"/>
              </w:rPr>
              <w:t>HDCz</w:t>
            </w:r>
            <w:proofErr w:type="spellEnd"/>
            <w:r w:rsidRPr="00993BED">
              <w:rPr>
                <w:rFonts w:ascii="Times New Roman" w:eastAsia="Times New Roman" w:hAnsi="Times New Roman" w:cs="Times New Roman"/>
                <w:sz w:val="24"/>
                <w:szCs w:val="24"/>
                <w:lang w:eastAsia="pl-PL"/>
              </w:rPr>
              <w:t xml:space="preserve"> w dawkach profilaktycznych lub terapeutycznych</w:t>
            </w:r>
            <w:r w:rsidRPr="00993BED">
              <w:rPr>
                <w:rFonts w:ascii="Times New Roman" w:eastAsia="Times New Roman" w:hAnsi="Times New Roman" w:cs="Times New Roman"/>
                <w:sz w:val="24"/>
                <w:szCs w:val="24"/>
                <w:lang w:eastAsia="pl-PL"/>
              </w:rPr>
              <w:br/>
              <w:t xml:space="preserve">– chorzy w stadium 4: </w:t>
            </w:r>
            <w:proofErr w:type="spellStart"/>
            <w:r w:rsidRPr="00993BED">
              <w:rPr>
                <w:rFonts w:ascii="Times New Roman" w:eastAsia="Times New Roman" w:hAnsi="Times New Roman" w:cs="Times New Roman"/>
                <w:sz w:val="24"/>
                <w:szCs w:val="24"/>
                <w:lang w:eastAsia="pl-PL"/>
              </w:rPr>
              <w:t>HDCz</w:t>
            </w:r>
            <w:proofErr w:type="spellEnd"/>
            <w:r w:rsidRPr="00993BED">
              <w:rPr>
                <w:rFonts w:ascii="Times New Roman" w:eastAsia="Times New Roman" w:hAnsi="Times New Roman" w:cs="Times New Roman"/>
                <w:sz w:val="24"/>
                <w:szCs w:val="24"/>
                <w:lang w:eastAsia="pl-PL"/>
              </w:rPr>
              <w:t xml:space="preserve"> w dawkach terapeutycznych</w:t>
            </w:r>
          </w:p>
        </w:tc>
        <w:tc>
          <w:tcPr>
            <w:tcW w:w="0" w:type="auto"/>
            <w:shd w:val="clear" w:color="auto" w:fill="auto"/>
            <w:hideMark/>
          </w:tcPr>
          <w:p w:rsidR="00993BED" w:rsidRPr="00993BED" w:rsidRDefault="00993BED" w:rsidP="00993BED">
            <w:pPr>
              <w:spacing w:after="0" w:line="240" w:lineRule="auto"/>
              <w:rPr>
                <w:rFonts w:ascii="Times New Roman" w:eastAsia="Times New Roman" w:hAnsi="Times New Roman" w:cs="Times New Roman"/>
                <w:sz w:val="24"/>
                <w:szCs w:val="24"/>
                <w:lang w:eastAsia="pl-PL"/>
              </w:rPr>
            </w:pPr>
            <w:r w:rsidRPr="00993BED">
              <w:rPr>
                <w:rFonts w:ascii="Times New Roman" w:eastAsia="Times New Roman" w:hAnsi="Times New Roman" w:cs="Times New Roman"/>
                <w:sz w:val="24"/>
                <w:szCs w:val="24"/>
                <w:lang w:eastAsia="pl-PL"/>
              </w:rPr>
              <w:t xml:space="preserve">– chorzy hospitalizowani – profilaktyka </w:t>
            </w:r>
            <w:proofErr w:type="spellStart"/>
            <w:r w:rsidRPr="00993BED">
              <w:rPr>
                <w:rFonts w:ascii="Times New Roman" w:eastAsia="Times New Roman" w:hAnsi="Times New Roman" w:cs="Times New Roman"/>
                <w:sz w:val="24"/>
                <w:szCs w:val="24"/>
                <w:lang w:eastAsia="pl-PL"/>
              </w:rPr>
              <w:t>ŻChZZ</w:t>
            </w:r>
            <w:proofErr w:type="spellEnd"/>
            <w:r w:rsidRPr="00993BED">
              <w:rPr>
                <w:rFonts w:ascii="Times New Roman" w:eastAsia="Times New Roman" w:hAnsi="Times New Roman" w:cs="Times New Roman"/>
                <w:sz w:val="24"/>
                <w:szCs w:val="24"/>
                <w:lang w:eastAsia="pl-PL"/>
              </w:rPr>
              <w:t xml:space="preserve"> wg lokalnych i międzynarodowych ogólnych wytycznych (np. </w:t>
            </w:r>
            <w:proofErr w:type="spellStart"/>
            <w:r w:rsidRPr="00993BED">
              <w:rPr>
                <w:rFonts w:ascii="Times New Roman" w:eastAsia="Times New Roman" w:hAnsi="Times New Roman" w:cs="Times New Roman"/>
                <w:sz w:val="24"/>
                <w:szCs w:val="24"/>
                <w:lang w:eastAsia="pl-PL"/>
              </w:rPr>
              <w:t>HDCz</w:t>
            </w:r>
            <w:proofErr w:type="spellEnd"/>
            <w:r w:rsidRPr="00993BED">
              <w:rPr>
                <w:rFonts w:ascii="Times New Roman" w:eastAsia="Times New Roman" w:hAnsi="Times New Roman" w:cs="Times New Roman"/>
                <w:sz w:val="24"/>
                <w:szCs w:val="24"/>
                <w:lang w:eastAsia="pl-PL"/>
              </w:rPr>
              <w:t xml:space="preserve">), o ile nie występują przeciwwskazania – w razie przeciwwskazań zalecana profilaktyka </w:t>
            </w:r>
            <w:proofErr w:type="spellStart"/>
            <w:r w:rsidRPr="00993BED">
              <w:rPr>
                <w:rFonts w:ascii="Times New Roman" w:eastAsia="Times New Roman" w:hAnsi="Times New Roman" w:cs="Times New Roman"/>
                <w:sz w:val="24"/>
                <w:szCs w:val="24"/>
                <w:lang w:eastAsia="pl-PL"/>
              </w:rPr>
              <w:t>niefarmakologiczna</w:t>
            </w:r>
            <w:r w:rsidRPr="00993BED">
              <w:rPr>
                <w:rFonts w:ascii="Times New Roman" w:eastAsia="Times New Roman" w:hAnsi="Times New Roman" w:cs="Times New Roman"/>
                <w:sz w:val="14"/>
                <w:szCs w:val="14"/>
                <w:vertAlign w:val="superscript"/>
                <w:lang w:eastAsia="pl-PL"/>
              </w:rPr>
              <w:t>c</w:t>
            </w:r>
            <w:proofErr w:type="spellEnd"/>
          </w:p>
        </w:tc>
        <w:tc>
          <w:tcPr>
            <w:tcW w:w="0" w:type="auto"/>
            <w:shd w:val="clear" w:color="auto" w:fill="auto"/>
            <w:hideMark/>
          </w:tcPr>
          <w:p w:rsidR="00993BED" w:rsidRPr="00993BED" w:rsidRDefault="00993BED" w:rsidP="00993BED">
            <w:pPr>
              <w:spacing w:after="0" w:line="240" w:lineRule="auto"/>
              <w:rPr>
                <w:rFonts w:ascii="Times New Roman" w:eastAsia="Times New Roman" w:hAnsi="Times New Roman" w:cs="Times New Roman"/>
                <w:sz w:val="24"/>
                <w:szCs w:val="24"/>
                <w:lang w:eastAsia="pl-PL"/>
              </w:rPr>
            </w:pPr>
            <w:r w:rsidRPr="00993BED">
              <w:rPr>
                <w:rFonts w:ascii="Times New Roman" w:eastAsia="Times New Roman" w:hAnsi="Times New Roman" w:cs="Times New Roman"/>
                <w:sz w:val="24"/>
                <w:szCs w:val="24"/>
                <w:lang w:eastAsia="pl-PL"/>
              </w:rPr>
              <w:t xml:space="preserve">– chorzy hospitalizowani – profilaktyka </w:t>
            </w:r>
            <w:proofErr w:type="spellStart"/>
            <w:r w:rsidRPr="00993BED">
              <w:rPr>
                <w:rFonts w:ascii="Times New Roman" w:eastAsia="Times New Roman" w:hAnsi="Times New Roman" w:cs="Times New Roman"/>
                <w:sz w:val="24"/>
                <w:szCs w:val="24"/>
                <w:lang w:eastAsia="pl-PL"/>
              </w:rPr>
              <w:t>ŻChZZ</w:t>
            </w:r>
            <w:proofErr w:type="spellEnd"/>
            <w:r w:rsidRPr="00993BED">
              <w:rPr>
                <w:rFonts w:ascii="Times New Roman" w:eastAsia="Times New Roman" w:hAnsi="Times New Roman" w:cs="Times New Roman"/>
                <w:sz w:val="24"/>
                <w:szCs w:val="24"/>
                <w:lang w:eastAsia="pl-PL"/>
              </w:rPr>
              <w:t xml:space="preserve"> wg aktualnych wytycznych dla innych dorosłych chorych leczonych w szpitalu</w:t>
            </w:r>
            <w:r w:rsidRPr="00993BED">
              <w:rPr>
                <w:rFonts w:ascii="Times New Roman" w:eastAsia="Times New Roman" w:hAnsi="Times New Roman" w:cs="Times New Roman"/>
                <w:sz w:val="24"/>
                <w:szCs w:val="24"/>
                <w:lang w:eastAsia="pl-PL"/>
              </w:rPr>
              <w:br/>
              <w:t>– w razie wystąpienia lub silnego podejrzenia zdarzenia zakrzepowo-zatorowego, gdy nie ma możliwości pilnego wykonania badań obrazowych, należy zastosować lek przeciwkrzepliwy w dawce terapeutycznej zgodnie z wytycznymi dla pacjentów niezakażonych SARS-CoV-2</w:t>
            </w:r>
          </w:p>
        </w:tc>
        <w:tc>
          <w:tcPr>
            <w:tcW w:w="0" w:type="auto"/>
            <w:shd w:val="clear" w:color="auto" w:fill="auto"/>
            <w:hideMark/>
          </w:tcPr>
          <w:p w:rsidR="00993BED" w:rsidRPr="00993BED" w:rsidRDefault="00993BED" w:rsidP="00993BED">
            <w:pPr>
              <w:spacing w:after="0" w:line="240" w:lineRule="auto"/>
              <w:rPr>
                <w:rFonts w:ascii="Times New Roman" w:eastAsia="Times New Roman" w:hAnsi="Times New Roman" w:cs="Times New Roman"/>
                <w:sz w:val="24"/>
                <w:szCs w:val="24"/>
                <w:lang w:eastAsia="pl-PL"/>
              </w:rPr>
            </w:pPr>
            <w:r w:rsidRPr="00993BED">
              <w:rPr>
                <w:rFonts w:ascii="Times New Roman" w:eastAsia="Times New Roman" w:hAnsi="Times New Roman" w:cs="Times New Roman"/>
                <w:sz w:val="24"/>
                <w:szCs w:val="24"/>
                <w:lang w:eastAsia="pl-PL"/>
              </w:rPr>
              <w:t>–</w:t>
            </w:r>
          </w:p>
        </w:tc>
      </w:tr>
      <w:tr w:rsidR="00993BED" w:rsidRPr="00993BED" w:rsidTr="00993BED">
        <w:trPr>
          <w:tblCellSpacing w:w="15" w:type="dxa"/>
        </w:trPr>
        <w:tc>
          <w:tcPr>
            <w:tcW w:w="0" w:type="auto"/>
            <w:shd w:val="clear" w:color="auto" w:fill="auto"/>
            <w:hideMark/>
          </w:tcPr>
          <w:p w:rsidR="00993BED" w:rsidRPr="00993BED" w:rsidRDefault="00993BED" w:rsidP="00993BED">
            <w:pPr>
              <w:spacing w:after="0" w:line="240" w:lineRule="auto"/>
              <w:rPr>
                <w:rFonts w:ascii="Times New Roman" w:eastAsia="Times New Roman" w:hAnsi="Times New Roman" w:cs="Times New Roman"/>
                <w:sz w:val="24"/>
                <w:szCs w:val="24"/>
                <w:lang w:eastAsia="pl-PL"/>
              </w:rPr>
            </w:pPr>
            <w:r w:rsidRPr="00993BED">
              <w:rPr>
                <w:rFonts w:ascii="Times New Roman" w:eastAsia="Times New Roman" w:hAnsi="Times New Roman" w:cs="Times New Roman"/>
                <w:sz w:val="24"/>
                <w:szCs w:val="24"/>
                <w:lang w:eastAsia="pl-PL"/>
              </w:rPr>
              <w:t>inne</w:t>
            </w:r>
          </w:p>
        </w:tc>
        <w:tc>
          <w:tcPr>
            <w:tcW w:w="0" w:type="auto"/>
            <w:shd w:val="clear" w:color="auto" w:fill="auto"/>
            <w:hideMark/>
          </w:tcPr>
          <w:p w:rsidR="00993BED" w:rsidRPr="00993BED" w:rsidRDefault="00993BED" w:rsidP="00993BED">
            <w:pPr>
              <w:spacing w:after="0" w:line="240" w:lineRule="auto"/>
              <w:rPr>
                <w:rFonts w:ascii="Times New Roman" w:eastAsia="Times New Roman" w:hAnsi="Times New Roman" w:cs="Times New Roman"/>
                <w:sz w:val="24"/>
                <w:szCs w:val="24"/>
                <w:lang w:eastAsia="pl-PL"/>
              </w:rPr>
            </w:pPr>
            <w:r w:rsidRPr="00993BED">
              <w:rPr>
                <w:rFonts w:ascii="Times New Roman" w:eastAsia="Times New Roman" w:hAnsi="Times New Roman" w:cs="Times New Roman"/>
                <w:sz w:val="24"/>
                <w:szCs w:val="24"/>
                <w:lang w:eastAsia="pl-PL"/>
              </w:rPr>
              <w:t>w stadium 4. zalecana antybiotykoterapia</w:t>
            </w:r>
          </w:p>
        </w:tc>
        <w:tc>
          <w:tcPr>
            <w:tcW w:w="0" w:type="auto"/>
            <w:shd w:val="clear" w:color="auto" w:fill="auto"/>
            <w:hideMark/>
          </w:tcPr>
          <w:p w:rsidR="00993BED" w:rsidRPr="00993BED" w:rsidRDefault="00993BED" w:rsidP="00993BED">
            <w:pPr>
              <w:spacing w:after="0" w:line="240" w:lineRule="auto"/>
              <w:rPr>
                <w:rFonts w:ascii="Times New Roman" w:eastAsia="Times New Roman" w:hAnsi="Times New Roman" w:cs="Times New Roman"/>
                <w:sz w:val="24"/>
                <w:szCs w:val="24"/>
                <w:lang w:eastAsia="pl-PL"/>
              </w:rPr>
            </w:pPr>
            <w:r w:rsidRPr="00993BED">
              <w:rPr>
                <w:rFonts w:ascii="Times New Roman" w:eastAsia="Times New Roman" w:hAnsi="Times New Roman" w:cs="Times New Roman"/>
                <w:sz w:val="24"/>
                <w:szCs w:val="24"/>
                <w:lang w:eastAsia="pl-PL"/>
              </w:rPr>
              <w:t>–</w:t>
            </w:r>
          </w:p>
        </w:tc>
        <w:tc>
          <w:tcPr>
            <w:tcW w:w="0" w:type="auto"/>
            <w:shd w:val="clear" w:color="auto" w:fill="auto"/>
            <w:hideMark/>
          </w:tcPr>
          <w:p w:rsidR="00993BED" w:rsidRPr="00993BED" w:rsidRDefault="00993BED" w:rsidP="00993BED">
            <w:pPr>
              <w:spacing w:after="0" w:line="240" w:lineRule="auto"/>
              <w:rPr>
                <w:rFonts w:ascii="Times New Roman" w:eastAsia="Times New Roman" w:hAnsi="Times New Roman" w:cs="Times New Roman"/>
                <w:sz w:val="24"/>
                <w:szCs w:val="24"/>
                <w:lang w:eastAsia="pl-PL"/>
              </w:rPr>
            </w:pPr>
            <w:r w:rsidRPr="00993BED">
              <w:rPr>
                <w:rFonts w:ascii="Times New Roman" w:eastAsia="Times New Roman" w:hAnsi="Times New Roman" w:cs="Times New Roman"/>
                <w:sz w:val="24"/>
                <w:szCs w:val="24"/>
                <w:lang w:eastAsia="pl-PL"/>
              </w:rPr>
              <w:t>–</w:t>
            </w:r>
          </w:p>
        </w:tc>
        <w:tc>
          <w:tcPr>
            <w:tcW w:w="0" w:type="auto"/>
            <w:shd w:val="clear" w:color="auto" w:fill="auto"/>
            <w:hideMark/>
          </w:tcPr>
          <w:p w:rsidR="00993BED" w:rsidRPr="00993BED" w:rsidRDefault="00993BED" w:rsidP="00993BED">
            <w:pPr>
              <w:spacing w:after="0" w:line="240" w:lineRule="auto"/>
              <w:rPr>
                <w:rFonts w:ascii="Times New Roman" w:eastAsia="Times New Roman" w:hAnsi="Times New Roman" w:cs="Times New Roman"/>
                <w:sz w:val="24"/>
                <w:szCs w:val="24"/>
                <w:lang w:eastAsia="pl-PL"/>
              </w:rPr>
            </w:pPr>
            <w:r w:rsidRPr="00993BED">
              <w:rPr>
                <w:rFonts w:ascii="Times New Roman" w:eastAsia="Times New Roman" w:hAnsi="Times New Roman" w:cs="Times New Roman"/>
                <w:sz w:val="24"/>
                <w:szCs w:val="24"/>
                <w:lang w:eastAsia="pl-PL"/>
              </w:rPr>
              <w:t>–</w:t>
            </w:r>
          </w:p>
        </w:tc>
      </w:tr>
      <w:tr w:rsidR="00993BED" w:rsidRPr="00993BED" w:rsidTr="00993BED">
        <w:trPr>
          <w:tblCellSpacing w:w="15" w:type="dxa"/>
        </w:trPr>
        <w:tc>
          <w:tcPr>
            <w:tcW w:w="0" w:type="auto"/>
            <w:gridSpan w:val="5"/>
            <w:shd w:val="clear" w:color="auto" w:fill="auto"/>
            <w:hideMark/>
          </w:tcPr>
          <w:p w:rsidR="00993BED" w:rsidRPr="00993BED" w:rsidRDefault="00993BED" w:rsidP="00993BED">
            <w:pPr>
              <w:spacing w:after="0" w:line="240" w:lineRule="auto"/>
              <w:rPr>
                <w:rFonts w:ascii="Times New Roman" w:eastAsia="Times New Roman" w:hAnsi="Times New Roman" w:cs="Times New Roman"/>
                <w:sz w:val="24"/>
                <w:szCs w:val="24"/>
                <w:lang w:eastAsia="pl-PL"/>
              </w:rPr>
            </w:pPr>
            <w:r w:rsidRPr="00993BED">
              <w:rPr>
                <w:rFonts w:ascii="Times New Roman" w:eastAsia="Times New Roman" w:hAnsi="Times New Roman" w:cs="Times New Roman"/>
                <w:sz w:val="14"/>
                <w:szCs w:val="14"/>
                <w:vertAlign w:val="superscript"/>
                <w:lang w:eastAsia="pl-PL"/>
              </w:rPr>
              <w:t>a</w:t>
            </w:r>
            <w:r w:rsidRPr="00993BED">
              <w:rPr>
                <w:rFonts w:ascii="Times New Roman" w:eastAsia="Times New Roman" w:hAnsi="Times New Roman" w:cs="Times New Roman"/>
                <w:sz w:val="24"/>
                <w:szCs w:val="24"/>
                <w:lang w:eastAsia="pl-PL"/>
              </w:rPr>
              <w:t> podczas oddychania powietrzem atmosferycznym</w:t>
            </w:r>
            <w:r w:rsidRPr="00993BED">
              <w:rPr>
                <w:rFonts w:ascii="Times New Roman" w:eastAsia="Times New Roman" w:hAnsi="Times New Roman" w:cs="Times New Roman"/>
                <w:sz w:val="24"/>
                <w:szCs w:val="24"/>
                <w:lang w:eastAsia="pl-PL"/>
              </w:rPr>
              <w:br/>
            </w:r>
            <w:r w:rsidRPr="00993BED">
              <w:rPr>
                <w:rFonts w:ascii="Times New Roman" w:eastAsia="Times New Roman" w:hAnsi="Times New Roman" w:cs="Times New Roman"/>
                <w:sz w:val="14"/>
                <w:szCs w:val="14"/>
                <w:vertAlign w:val="superscript"/>
                <w:lang w:eastAsia="pl-PL"/>
              </w:rPr>
              <w:t>b</w:t>
            </w:r>
            <w:r w:rsidRPr="00993BED">
              <w:rPr>
                <w:rFonts w:ascii="Times New Roman" w:eastAsia="Times New Roman" w:hAnsi="Times New Roman" w:cs="Times New Roman"/>
                <w:sz w:val="24"/>
                <w:szCs w:val="24"/>
                <w:lang w:eastAsia="pl-PL"/>
              </w:rPr>
              <w:t xml:space="preserve"> W sytuacji ograniczonego dostępu do </w:t>
            </w:r>
            <w:proofErr w:type="spellStart"/>
            <w:r w:rsidRPr="00993BED">
              <w:rPr>
                <w:rFonts w:ascii="Times New Roman" w:eastAsia="Times New Roman" w:hAnsi="Times New Roman" w:cs="Times New Roman"/>
                <w:sz w:val="24"/>
                <w:szCs w:val="24"/>
                <w:lang w:eastAsia="pl-PL"/>
              </w:rPr>
              <w:t>remdesiwiru</w:t>
            </w:r>
            <w:proofErr w:type="spellEnd"/>
            <w:r w:rsidRPr="00993BED">
              <w:rPr>
                <w:rFonts w:ascii="Times New Roman" w:eastAsia="Times New Roman" w:hAnsi="Times New Roman" w:cs="Times New Roman"/>
                <w:sz w:val="24"/>
                <w:szCs w:val="24"/>
                <w:lang w:eastAsia="pl-PL"/>
              </w:rPr>
              <w:t xml:space="preserve"> wskazania do jego stosowania u krytycznie chorych mogą wkrótce ulec zmianie w świetle wyników badań, które wskazują na brak korzyści z tego leczenia u chorych na OIT.</w:t>
            </w:r>
            <w:r w:rsidRPr="00993BED">
              <w:rPr>
                <w:rFonts w:ascii="Times New Roman" w:eastAsia="Times New Roman" w:hAnsi="Times New Roman" w:cs="Times New Roman"/>
                <w:sz w:val="24"/>
                <w:szCs w:val="24"/>
                <w:lang w:eastAsia="pl-PL"/>
              </w:rPr>
              <w:br/>
            </w:r>
            <w:r w:rsidRPr="00993BED">
              <w:rPr>
                <w:rFonts w:ascii="Times New Roman" w:eastAsia="Times New Roman" w:hAnsi="Times New Roman" w:cs="Times New Roman"/>
                <w:sz w:val="14"/>
                <w:szCs w:val="14"/>
                <w:vertAlign w:val="superscript"/>
                <w:lang w:eastAsia="pl-PL"/>
              </w:rPr>
              <w:t>c</w:t>
            </w:r>
            <w:r w:rsidRPr="00993BED">
              <w:rPr>
                <w:rFonts w:ascii="Times New Roman" w:eastAsia="Times New Roman" w:hAnsi="Times New Roman" w:cs="Times New Roman"/>
                <w:sz w:val="24"/>
                <w:szCs w:val="24"/>
                <w:lang w:eastAsia="pl-PL"/>
              </w:rPr>
              <w:t> na podstawie wytycznych WHO z 27.05.2020</w:t>
            </w:r>
            <w:r w:rsidRPr="00993BED">
              <w:rPr>
                <w:rFonts w:ascii="Times New Roman" w:eastAsia="Times New Roman" w:hAnsi="Times New Roman" w:cs="Times New Roman"/>
                <w:sz w:val="14"/>
                <w:szCs w:val="14"/>
                <w:vertAlign w:val="superscript"/>
                <w:lang w:eastAsia="pl-PL"/>
              </w:rPr>
              <w:t>5</w:t>
            </w:r>
            <w:r w:rsidRPr="00993BED">
              <w:rPr>
                <w:rFonts w:ascii="Times New Roman" w:eastAsia="Times New Roman" w:hAnsi="Times New Roman" w:cs="Times New Roman"/>
                <w:sz w:val="24"/>
                <w:szCs w:val="24"/>
                <w:lang w:eastAsia="pl-PL"/>
              </w:rPr>
              <w:br/>
              <w:t xml:space="preserve">ARDS – zespół ostrej niewydolności oddechowej, ECMO – pozaustrojowa </w:t>
            </w:r>
            <w:proofErr w:type="spellStart"/>
            <w:r w:rsidRPr="00993BED">
              <w:rPr>
                <w:rFonts w:ascii="Times New Roman" w:eastAsia="Times New Roman" w:hAnsi="Times New Roman" w:cs="Times New Roman"/>
                <w:sz w:val="24"/>
                <w:szCs w:val="24"/>
                <w:lang w:eastAsia="pl-PL"/>
              </w:rPr>
              <w:t>oksygenacja</w:t>
            </w:r>
            <w:proofErr w:type="spellEnd"/>
            <w:r w:rsidRPr="00993BED">
              <w:rPr>
                <w:rFonts w:ascii="Times New Roman" w:eastAsia="Times New Roman" w:hAnsi="Times New Roman" w:cs="Times New Roman"/>
                <w:sz w:val="24"/>
                <w:szCs w:val="24"/>
                <w:lang w:eastAsia="pl-PL"/>
              </w:rPr>
              <w:t xml:space="preserve"> </w:t>
            </w:r>
            <w:proofErr w:type="spellStart"/>
            <w:r w:rsidRPr="00993BED">
              <w:rPr>
                <w:rFonts w:ascii="Times New Roman" w:eastAsia="Times New Roman" w:hAnsi="Times New Roman" w:cs="Times New Roman"/>
                <w:sz w:val="24"/>
                <w:szCs w:val="24"/>
                <w:lang w:eastAsia="pl-PL"/>
              </w:rPr>
              <w:t>przezbłonowa</w:t>
            </w:r>
            <w:proofErr w:type="spellEnd"/>
            <w:r w:rsidRPr="00993BED">
              <w:rPr>
                <w:rFonts w:ascii="Times New Roman" w:eastAsia="Times New Roman" w:hAnsi="Times New Roman" w:cs="Times New Roman"/>
                <w:sz w:val="24"/>
                <w:szCs w:val="24"/>
                <w:lang w:eastAsia="pl-PL"/>
              </w:rPr>
              <w:t xml:space="preserve">, GKS – </w:t>
            </w:r>
            <w:proofErr w:type="spellStart"/>
            <w:r w:rsidRPr="00993BED">
              <w:rPr>
                <w:rFonts w:ascii="Times New Roman" w:eastAsia="Times New Roman" w:hAnsi="Times New Roman" w:cs="Times New Roman"/>
                <w:sz w:val="24"/>
                <w:szCs w:val="24"/>
                <w:lang w:eastAsia="pl-PL"/>
              </w:rPr>
              <w:t>glikokortykosteroid</w:t>
            </w:r>
            <w:proofErr w:type="spellEnd"/>
            <w:r w:rsidRPr="00993BED">
              <w:rPr>
                <w:rFonts w:ascii="Times New Roman" w:eastAsia="Times New Roman" w:hAnsi="Times New Roman" w:cs="Times New Roman"/>
                <w:sz w:val="24"/>
                <w:szCs w:val="24"/>
                <w:lang w:eastAsia="pl-PL"/>
              </w:rPr>
              <w:t xml:space="preserve">(y), </w:t>
            </w:r>
            <w:proofErr w:type="spellStart"/>
            <w:r w:rsidRPr="00993BED">
              <w:rPr>
                <w:rFonts w:ascii="Times New Roman" w:eastAsia="Times New Roman" w:hAnsi="Times New Roman" w:cs="Times New Roman"/>
                <w:sz w:val="24"/>
                <w:szCs w:val="24"/>
                <w:lang w:eastAsia="pl-PL"/>
              </w:rPr>
              <w:t>HDCz</w:t>
            </w:r>
            <w:proofErr w:type="spellEnd"/>
            <w:r w:rsidRPr="00993BED">
              <w:rPr>
                <w:rFonts w:ascii="Times New Roman" w:eastAsia="Times New Roman" w:hAnsi="Times New Roman" w:cs="Times New Roman"/>
                <w:sz w:val="24"/>
                <w:szCs w:val="24"/>
                <w:lang w:eastAsia="pl-PL"/>
              </w:rPr>
              <w:t xml:space="preserve"> – heparyna drobnocząsteczkowa, OIT – oddział intensywnej terapii, SpO</w:t>
            </w:r>
            <w:r w:rsidRPr="00993BED">
              <w:rPr>
                <w:rFonts w:ascii="Times New Roman" w:eastAsia="Times New Roman" w:hAnsi="Times New Roman" w:cs="Times New Roman"/>
                <w:sz w:val="14"/>
                <w:szCs w:val="14"/>
                <w:vertAlign w:val="subscript"/>
                <w:lang w:eastAsia="pl-PL"/>
              </w:rPr>
              <w:t>2</w:t>
            </w:r>
            <w:r w:rsidRPr="00993BED">
              <w:rPr>
                <w:rFonts w:ascii="Times New Roman" w:eastAsia="Times New Roman" w:hAnsi="Times New Roman" w:cs="Times New Roman"/>
                <w:sz w:val="24"/>
                <w:szCs w:val="24"/>
                <w:lang w:eastAsia="pl-PL"/>
              </w:rPr>
              <w:t xml:space="preserve"> – wysycenie tlenem hemoglobiny krwi tętniczej, </w:t>
            </w:r>
            <w:proofErr w:type="spellStart"/>
            <w:r w:rsidRPr="00993BED">
              <w:rPr>
                <w:rFonts w:ascii="Times New Roman" w:eastAsia="Times New Roman" w:hAnsi="Times New Roman" w:cs="Times New Roman"/>
                <w:sz w:val="24"/>
                <w:szCs w:val="24"/>
                <w:lang w:eastAsia="pl-PL"/>
              </w:rPr>
              <w:t>ŻChZZ</w:t>
            </w:r>
            <w:proofErr w:type="spellEnd"/>
            <w:r w:rsidRPr="00993BED">
              <w:rPr>
                <w:rFonts w:ascii="Times New Roman" w:eastAsia="Times New Roman" w:hAnsi="Times New Roman" w:cs="Times New Roman"/>
                <w:sz w:val="24"/>
                <w:szCs w:val="24"/>
                <w:lang w:eastAsia="pl-PL"/>
              </w:rPr>
              <w:t xml:space="preserve"> – żylna choroba zakrzepowo-zatorowa</w:t>
            </w:r>
          </w:p>
        </w:tc>
      </w:tr>
    </w:tbl>
    <w:p w:rsidR="00993BED" w:rsidRPr="00993BED" w:rsidRDefault="00993BED" w:rsidP="00993BED">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993BED">
        <w:rPr>
          <w:rFonts w:ascii="Verdana" w:eastAsia="Times New Roman" w:hAnsi="Verdana" w:cs="Times New Roman"/>
          <w:color w:val="333333"/>
          <w:sz w:val="18"/>
          <w:szCs w:val="18"/>
          <w:lang w:eastAsia="pl-PL"/>
        </w:rPr>
        <w:lastRenderedPageBreak/>
        <w:t xml:space="preserve">W zaktualizowanych zaleceniach </w:t>
      </w:r>
      <w:proofErr w:type="spellStart"/>
      <w:r w:rsidRPr="00993BED">
        <w:rPr>
          <w:rFonts w:ascii="Verdana" w:eastAsia="Times New Roman" w:hAnsi="Verdana" w:cs="Times New Roman"/>
          <w:color w:val="333333"/>
          <w:sz w:val="18"/>
          <w:szCs w:val="18"/>
          <w:lang w:eastAsia="pl-PL"/>
        </w:rPr>
        <w:t>PTEiLChZ</w:t>
      </w:r>
      <w:proofErr w:type="spellEnd"/>
      <w:r w:rsidRPr="00993BED">
        <w:rPr>
          <w:rFonts w:ascii="Verdana" w:eastAsia="Times New Roman" w:hAnsi="Verdana" w:cs="Times New Roman"/>
          <w:color w:val="333333"/>
          <w:sz w:val="18"/>
          <w:szCs w:val="18"/>
          <w:lang w:eastAsia="pl-PL"/>
        </w:rPr>
        <w:t xml:space="preserve"> doprecyzowano podział COVID-19 na stadia, którym odpowiada określone postępowanie terapeutyczne, co jest dużą zaletą tego dokumentu. W czasie narastania liczby zakażonych SARS-CoV-2 i braku możliwości leczenia wszystkich chorych na oddziałach chorób zakaźnych, przez co ciężar opieki nad chorymi przejmują lekarze rodzinni, interniści, a nierzadko również lekarze innych specjalności – niezbędne jest ustalenie jasnych kryteriów klasyfikacji pacjentów do określonych interwencji terapeutycznych i wskazanie konkretnych działań w zależności od stadium choroby. W obecnej sytuacji epidemiologicznej specjaliści chorób zakaźnych coraz częściej będą przejmowali (tam, gdzie są dostępni) rolę konsultantów, gdyż liczba zakażonych znacznie przekracza możliwości zapewnienia specjalistycznej opieki wszystkim chorym. Dlatego proste klasyfikacje i jednoznaczne zalecenia ułatwiają lekarzom innych specjalności podejmowanie odpowiednich decyzji diagnostycznych i terapeutycznych, szczególnie jeśli z daną chorobą stykają się po raz pierwszy.</w:t>
      </w:r>
    </w:p>
    <w:p w:rsidR="00993BED" w:rsidRPr="00993BED" w:rsidRDefault="00993BED" w:rsidP="00993BED">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993BED">
        <w:rPr>
          <w:rFonts w:ascii="Verdana" w:eastAsia="Times New Roman" w:hAnsi="Verdana" w:cs="Times New Roman"/>
          <w:color w:val="333333"/>
          <w:sz w:val="18"/>
          <w:szCs w:val="18"/>
          <w:lang w:eastAsia="pl-PL"/>
        </w:rPr>
        <w:t>Leczenie COVID-19 jest złożone. W przeciwieństwie do wielu chorób zakaźnych, w których główną rolę odgrywają zazwyczaj leki przeciwdrobnoustrojowe (antybiotyki, leki przeciwwirusowe, leki przeciwgrzybicze itd.), w COVID-19 samo ograniczenie lub eliminacja czynnika sprawczego nie wystarcza, ponieważ za obraz choroby i jej powikłania odpowiada, szczególnie w późniejszych stadiach choroby, przede wszystkim nadmierna odpowiedź immunologiczna. Dlatego też obok leczenia przeciwwirusowego niezwykle istotne jest leczenie immunomodulujące i wspomagające.</w:t>
      </w:r>
    </w:p>
    <w:p w:rsidR="00993BED" w:rsidRPr="00993BED" w:rsidRDefault="00993BED" w:rsidP="00993BED">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993BED">
        <w:rPr>
          <w:rFonts w:ascii="Verdana" w:eastAsia="Times New Roman" w:hAnsi="Verdana" w:cs="Times New Roman"/>
          <w:color w:val="333333"/>
          <w:sz w:val="18"/>
          <w:szCs w:val="18"/>
          <w:lang w:eastAsia="pl-PL"/>
        </w:rPr>
        <w:t>Optymalnym czasem rozpoczęcia leczenia przeciwwirusowego jest początek choroby, kiedy wirus intensywnie się replikuje. W drugiej fazie choroby (zwykle po upływie 1 tygodnia od początku objawów), gdy dochodzi do rozwinięcia się burzy cytokinowej i uszkodzenia tkanek, zwykle nie obserwuje się już tak intensywnej replikacji wirusa, a samo leczenie przeciwwirusowe nie przynosi już istotnych efektów. W tej fazie podstawowe znaczenie mają prawdopodobnie interwencje korygujące nieprawidłową odpowiedź immunologiczną (leczenie immunomodulujące), przywracające homeostazę i zapobiegające powikłaniom (leczenie wspomagające).</w:t>
      </w:r>
    </w:p>
    <w:p w:rsidR="00993BED" w:rsidRPr="00993BED" w:rsidRDefault="00993BED" w:rsidP="00993BED">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993BED">
        <w:rPr>
          <w:rFonts w:ascii="Verdana" w:eastAsia="Times New Roman" w:hAnsi="Verdana" w:cs="Times New Roman"/>
          <w:color w:val="333333"/>
          <w:sz w:val="18"/>
          <w:szCs w:val="18"/>
          <w:lang w:eastAsia="pl-PL"/>
        </w:rPr>
        <w:t>Do dzisiaj tylko 2 leki zostały oficjalnie dopuszczone przez Europejską Agencję ds. Leków (EMA) do leczenia COVID-19 na podstawie wyników badań klinicznych, które wykazały korzyści płynące z ich stosowania: </w:t>
      </w:r>
      <w:proofErr w:type="spellStart"/>
      <w:r w:rsidRPr="00993BED">
        <w:rPr>
          <w:rFonts w:ascii="Verdana" w:eastAsia="Times New Roman" w:hAnsi="Verdana" w:cs="Times New Roman"/>
          <w:b/>
          <w:bCs/>
          <w:color w:val="333333"/>
          <w:sz w:val="18"/>
          <w:szCs w:val="18"/>
          <w:lang w:eastAsia="pl-PL"/>
        </w:rPr>
        <w:t>remdesiwir</w:t>
      </w:r>
      <w:proofErr w:type="spellEnd"/>
      <w:r w:rsidRPr="00993BED">
        <w:rPr>
          <w:rFonts w:ascii="Verdana" w:eastAsia="Times New Roman" w:hAnsi="Verdana" w:cs="Times New Roman"/>
          <w:b/>
          <w:bCs/>
          <w:color w:val="333333"/>
          <w:sz w:val="18"/>
          <w:szCs w:val="18"/>
          <w:lang w:eastAsia="pl-PL"/>
        </w:rPr>
        <w:t xml:space="preserve"> i deksametazon</w:t>
      </w:r>
      <w:r w:rsidRPr="00993BED">
        <w:rPr>
          <w:rFonts w:ascii="Verdana" w:eastAsia="Times New Roman" w:hAnsi="Verdana" w:cs="Times New Roman"/>
          <w:color w:val="333333"/>
          <w:sz w:val="18"/>
          <w:szCs w:val="18"/>
          <w:lang w:eastAsia="pl-PL"/>
        </w:rPr>
        <w:t>.</w:t>
      </w:r>
      <w:r w:rsidRPr="00993BED">
        <w:rPr>
          <w:rFonts w:ascii="Verdana" w:eastAsia="Times New Roman" w:hAnsi="Verdana" w:cs="Times New Roman"/>
          <w:color w:val="333333"/>
          <w:sz w:val="16"/>
          <w:szCs w:val="16"/>
          <w:vertAlign w:val="superscript"/>
          <w:lang w:eastAsia="pl-PL"/>
        </w:rPr>
        <w:t>8</w:t>
      </w:r>
      <w:r w:rsidRPr="00993BED">
        <w:rPr>
          <w:rFonts w:ascii="Verdana" w:eastAsia="Times New Roman" w:hAnsi="Verdana" w:cs="Times New Roman"/>
          <w:color w:val="333333"/>
          <w:sz w:val="18"/>
          <w:szCs w:val="18"/>
          <w:lang w:eastAsia="pl-PL"/>
        </w:rPr>
        <w:t> </w:t>
      </w:r>
      <w:proofErr w:type="spellStart"/>
      <w:r w:rsidRPr="00993BED">
        <w:rPr>
          <w:rFonts w:ascii="Verdana" w:eastAsia="Times New Roman" w:hAnsi="Verdana" w:cs="Times New Roman"/>
          <w:color w:val="333333"/>
          <w:sz w:val="18"/>
          <w:szCs w:val="18"/>
          <w:lang w:eastAsia="pl-PL"/>
        </w:rPr>
        <w:t>Remdesiwir</w:t>
      </w:r>
      <w:proofErr w:type="spellEnd"/>
      <w:r w:rsidRPr="00993BED">
        <w:rPr>
          <w:rFonts w:ascii="Verdana" w:eastAsia="Times New Roman" w:hAnsi="Verdana" w:cs="Times New Roman"/>
          <w:color w:val="333333"/>
          <w:sz w:val="18"/>
          <w:szCs w:val="18"/>
          <w:lang w:eastAsia="pl-PL"/>
        </w:rPr>
        <w:t xml:space="preserve"> jest lekiem przeciwwirusowym (analog nukleotydowy hamujący działanie wirusowej polimerazy RNA zależnej od RNA, co wpływa na proces </w:t>
      </w:r>
      <w:proofErr w:type="spellStart"/>
      <w:r w:rsidRPr="00993BED">
        <w:rPr>
          <w:rFonts w:ascii="Verdana" w:eastAsia="Times New Roman" w:hAnsi="Verdana" w:cs="Times New Roman"/>
          <w:color w:val="333333"/>
          <w:sz w:val="18"/>
          <w:szCs w:val="18"/>
          <w:lang w:eastAsia="pl-PL"/>
        </w:rPr>
        <w:t>replikacyjny</w:t>
      </w:r>
      <w:proofErr w:type="spellEnd"/>
      <w:r w:rsidRPr="00993BED">
        <w:rPr>
          <w:rFonts w:ascii="Verdana" w:eastAsia="Times New Roman" w:hAnsi="Verdana" w:cs="Times New Roman"/>
          <w:color w:val="333333"/>
          <w:sz w:val="18"/>
          <w:szCs w:val="18"/>
          <w:lang w:eastAsia="pl-PL"/>
        </w:rPr>
        <w:t xml:space="preserve"> patogenu), a </w:t>
      </w:r>
      <w:proofErr w:type="spellStart"/>
      <w:r w:rsidRPr="00993BED">
        <w:rPr>
          <w:rFonts w:ascii="Verdana" w:eastAsia="Times New Roman" w:hAnsi="Verdana" w:cs="Times New Roman"/>
          <w:color w:val="333333"/>
          <w:sz w:val="18"/>
          <w:szCs w:val="18"/>
          <w:lang w:eastAsia="pl-PL"/>
        </w:rPr>
        <w:t>deksametazon</w:t>
      </w:r>
      <w:proofErr w:type="spellEnd"/>
      <w:r w:rsidRPr="00993BED">
        <w:rPr>
          <w:rFonts w:ascii="Verdana" w:eastAsia="Times New Roman" w:hAnsi="Verdana" w:cs="Times New Roman"/>
          <w:color w:val="333333"/>
          <w:sz w:val="18"/>
          <w:szCs w:val="18"/>
          <w:lang w:eastAsia="pl-PL"/>
        </w:rPr>
        <w:t xml:space="preserve"> ma opanowywać immunologiczne następstwa zakażenia.</w:t>
      </w:r>
    </w:p>
    <w:p w:rsidR="00993BED" w:rsidRPr="00993BED" w:rsidRDefault="00993BED" w:rsidP="00993BED">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993BED">
        <w:rPr>
          <w:rFonts w:ascii="Verdana" w:eastAsia="Times New Roman" w:hAnsi="Verdana" w:cs="Times New Roman"/>
          <w:b/>
          <w:bCs/>
          <w:color w:val="333333"/>
          <w:sz w:val="18"/>
          <w:szCs w:val="18"/>
          <w:lang w:eastAsia="pl-PL"/>
        </w:rPr>
        <w:t>Inne leki</w:t>
      </w:r>
      <w:r w:rsidRPr="00993BED">
        <w:rPr>
          <w:rFonts w:ascii="Verdana" w:eastAsia="Times New Roman" w:hAnsi="Verdana" w:cs="Times New Roman"/>
          <w:color w:val="333333"/>
          <w:sz w:val="18"/>
          <w:szCs w:val="18"/>
          <w:lang w:eastAsia="pl-PL"/>
        </w:rPr>
        <w:t xml:space="preserve">, takie jak osocze ozdrowieńców lub preparaty immunoglobulin neutralizujących SARS-CoV-2, przeciwciała monoklonalne (działanie przeciwwirusowe) oraz </w:t>
      </w:r>
      <w:proofErr w:type="spellStart"/>
      <w:r w:rsidRPr="00993BED">
        <w:rPr>
          <w:rFonts w:ascii="Verdana" w:eastAsia="Times New Roman" w:hAnsi="Verdana" w:cs="Times New Roman"/>
          <w:color w:val="333333"/>
          <w:sz w:val="18"/>
          <w:szCs w:val="18"/>
          <w:lang w:eastAsia="pl-PL"/>
        </w:rPr>
        <w:t>tocilizumab</w:t>
      </w:r>
      <w:proofErr w:type="spellEnd"/>
      <w:r w:rsidRPr="00993BED">
        <w:rPr>
          <w:rFonts w:ascii="Verdana" w:eastAsia="Times New Roman" w:hAnsi="Verdana" w:cs="Times New Roman"/>
          <w:color w:val="333333"/>
          <w:sz w:val="18"/>
          <w:szCs w:val="18"/>
          <w:lang w:eastAsia="pl-PL"/>
        </w:rPr>
        <w:t xml:space="preserve"> (działanie immunomodulujące), być może okażą się skuteczne, ale dotychczas nie zostały oficjalnie zarejestrowane do leczenia COVID-19 ani przez amerykańską Agencję ds. Żywności i Leków (FDA), ani przez EMA; aktualnie stosuje się je wyłącznie w ramach eksperymentu leczniczego. FDA wydała zezwolenie na użycie osocza ozdrowieńców w sytuacji wyjątkowej (</w:t>
      </w:r>
      <w:proofErr w:type="spellStart"/>
      <w:r w:rsidRPr="00993BED">
        <w:rPr>
          <w:rFonts w:ascii="Verdana" w:eastAsia="Times New Roman" w:hAnsi="Verdana" w:cs="Times New Roman"/>
          <w:i/>
          <w:iCs/>
          <w:color w:val="333333"/>
          <w:sz w:val="18"/>
          <w:szCs w:val="18"/>
          <w:lang w:eastAsia="pl-PL"/>
        </w:rPr>
        <w:t>emergency</w:t>
      </w:r>
      <w:proofErr w:type="spellEnd"/>
      <w:r w:rsidRPr="00993BED">
        <w:rPr>
          <w:rFonts w:ascii="Verdana" w:eastAsia="Times New Roman" w:hAnsi="Verdana" w:cs="Times New Roman"/>
          <w:i/>
          <w:iCs/>
          <w:color w:val="333333"/>
          <w:sz w:val="18"/>
          <w:szCs w:val="18"/>
          <w:lang w:eastAsia="pl-PL"/>
        </w:rPr>
        <w:t xml:space="preserve"> </w:t>
      </w:r>
      <w:proofErr w:type="spellStart"/>
      <w:r w:rsidRPr="00993BED">
        <w:rPr>
          <w:rFonts w:ascii="Verdana" w:eastAsia="Times New Roman" w:hAnsi="Verdana" w:cs="Times New Roman"/>
          <w:i/>
          <w:iCs/>
          <w:color w:val="333333"/>
          <w:sz w:val="18"/>
          <w:szCs w:val="18"/>
          <w:lang w:eastAsia="pl-PL"/>
        </w:rPr>
        <w:t>use</w:t>
      </w:r>
      <w:proofErr w:type="spellEnd"/>
      <w:r w:rsidRPr="00993BED">
        <w:rPr>
          <w:rFonts w:ascii="Verdana" w:eastAsia="Times New Roman" w:hAnsi="Verdana" w:cs="Times New Roman"/>
          <w:i/>
          <w:iCs/>
          <w:color w:val="333333"/>
          <w:sz w:val="18"/>
          <w:szCs w:val="18"/>
          <w:lang w:eastAsia="pl-PL"/>
        </w:rPr>
        <w:t xml:space="preserve"> </w:t>
      </w:r>
      <w:proofErr w:type="spellStart"/>
      <w:r w:rsidRPr="00993BED">
        <w:rPr>
          <w:rFonts w:ascii="Verdana" w:eastAsia="Times New Roman" w:hAnsi="Verdana" w:cs="Times New Roman"/>
          <w:i/>
          <w:iCs/>
          <w:color w:val="333333"/>
          <w:sz w:val="18"/>
          <w:szCs w:val="18"/>
          <w:lang w:eastAsia="pl-PL"/>
        </w:rPr>
        <w:t>authorization</w:t>
      </w:r>
      <w:proofErr w:type="spellEnd"/>
      <w:r w:rsidRPr="00993BED">
        <w:rPr>
          <w:rFonts w:ascii="Verdana" w:eastAsia="Times New Roman" w:hAnsi="Verdana" w:cs="Times New Roman"/>
          <w:color w:val="333333"/>
          <w:sz w:val="18"/>
          <w:szCs w:val="18"/>
          <w:lang w:eastAsia="pl-PL"/>
        </w:rPr>
        <w:t> – EUA). Zgodnie z wnioskami opublikowanej w październiku br. analizy Agencji Oceny Technologii Medycznych i Taryfikacji dotyczącej skuteczności i bezpieczeństwa stosowania osocza ozdrowieńców u chorych z COVID-19, do sformułowania zaleceń dotyczących tego sposobu leczenia konieczne są dalsze badania o wysokiej jakości.</w:t>
      </w:r>
      <w:r w:rsidRPr="00993BED">
        <w:rPr>
          <w:rFonts w:ascii="Verdana" w:eastAsia="Times New Roman" w:hAnsi="Verdana" w:cs="Times New Roman"/>
          <w:color w:val="333333"/>
          <w:sz w:val="16"/>
          <w:szCs w:val="16"/>
          <w:vertAlign w:val="superscript"/>
          <w:lang w:eastAsia="pl-PL"/>
        </w:rPr>
        <w:t>9</w:t>
      </w:r>
    </w:p>
    <w:p w:rsidR="00993BED" w:rsidRPr="00993BED" w:rsidRDefault="00993BED" w:rsidP="00993BED">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993BED">
        <w:rPr>
          <w:rFonts w:ascii="Verdana" w:eastAsia="Times New Roman" w:hAnsi="Verdana" w:cs="Times New Roman"/>
          <w:color w:val="333333"/>
          <w:sz w:val="18"/>
          <w:szCs w:val="18"/>
          <w:lang w:eastAsia="pl-PL"/>
        </w:rPr>
        <w:t>Trzecim ważnym elementem postępowania terapeutycznego jest </w:t>
      </w:r>
      <w:r w:rsidRPr="00993BED">
        <w:rPr>
          <w:rFonts w:ascii="Verdana" w:eastAsia="Times New Roman" w:hAnsi="Verdana" w:cs="Times New Roman"/>
          <w:b/>
          <w:bCs/>
          <w:color w:val="333333"/>
          <w:sz w:val="18"/>
          <w:szCs w:val="18"/>
          <w:lang w:eastAsia="pl-PL"/>
        </w:rPr>
        <w:t>leczenie wspomagające</w:t>
      </w:r>
      <w:r w:rsidRPr="00993BED">
        <w:rPr>
          <w:rFonts w:ascii="Verdana" w:eastAsia="Times New Roman" w:hAnsi="Verdana" w:cs="Times New Roman"/>
          <w:color w:val="333333"/>
          <w:sz w:val="18"/>
          <w:szCs w:val="18"/>
          <w:lang w:eastAsia="pl-PL"/>
        </w:rPr>
        <w:t>, szczególnie u pacjentów leczonych na oddziale intensywnej terapii (OIT; p. również www.mp.pl/covid19/intensywnaterapia). Coraz więcej uwagi poświęca się również profilaktyce przeciwzakrzepowej i leczeniu powikłań zakrzepowo-zatorowych, które występują w COVID-19.</w:t>
      </w:r>
    </w:p>
    <w:p w:rsidR="00993BED" w:rsidRPr="00993BED" w:rsidRDefault="00993BED" w:rsidP="00993BED">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993BED">
        <w:rPr>
          <w:rFonts w:ascii="Verdana" w:eastAsia="Times New Roman" w:hAnsi="Verdana" w:cs="Times New Roman"/>
          <w:color w:val="333333"/>
          <w:sz w:val="18"/>
          <w:szCs w:val="18"/>
          <w:lang w:eastAsia="pl-PL"/>
        </w:rPr>
        <w:t xml:space="preserve">Żadne wytyczne nie wyczerpują wszystkich możliwych sytuacji klinicznych. Wkrótce po opublikowaniu aneksu do wytycznych </w:t>
      </w:r>
      <w:proofErr w:type="spellStart"/>
      <w:r w:rsidRPr="00993BED">
        <w:rPr>
          <w:rFonts w:ascii="Verdana" w:eastAsia="Times New Roman" w:hAnsi="Verdana" w:cs="Times New Roman"/>
          <w:color w:val="333333"/>
          <w:sz w:val="18"/>
          <w:szCs w:val="18"/>
          <w:lang w:eastAsia="pl-PL"/>
        </w:rPr>
        <w:t>PTEiLChZ</w:t>
      </w:r>
      <w:proofErr w:type="spellEnd"/>
      <w:r w:rsidRPr="00993BED">
        <w:rPr>
          <w:rFonts w:ascii="Verdana" w:eastAsia="Times New Roman" w:hAnsi="Verdana" w:cs="Times New Roman"/>
          <w:color w:val="333333"/>
          <w:sz w:val="18"/>
          <w:szCs w:val="18"/>
          <w:lang w:eastAsia="pl-PL"/>
        </w:rPr>
        <w:t xml:space="preserve"> w serwisie internetowym poświęconym COVID-19 (</w:t>
      </w:r>
      <w:hyperlink r:id="rId6" w:history="1">
        <w:r w:rsidRPr="00993BED">
          <w:rPr>
            <w:rFonts w:ascii="Verdana" w:eastAsia="Times New Roman" w:hAnsi="Verdana" w:cs="Times New Roman"/>
            <w:color w:val="00477F"/>
            <w:sz w:val="18"/>
            <w:szCs w:val="18"/>
            <w:lang w:eastAsia="pl-PL"/>
          </w:rPr>
          <w:t>www.mp.pl/covid19</w:t>
        </w:r>
      </w:hyperlink>
      <w:r w:rsidRPr="00993BED">
        <w:rPr>
          <w:rFonts w:ascii="Verdana" w:eastAsia="Times New Roman" w:hAnsi="Verdana" w:cs="Times New Roman"/>
          <w:color w:val="333333"/>
          <w:sz w:val="18"/>
          <w:szCs w:val="18"/>
          <w:lang w:eastAsia="pl-PL"/>
        </w:rPr>
        <w:t xml:space="preserve">) pojawiło się wiele zapytań o postępowanie w przypadkach granicznych, które nie w pełni przystają do zaproponowanego podziału na stadia choroby. Szczególnie często pytano o stosowanie </w:t>
      </w:r>
      <w:proofErr w:type="spellStart"/>
      <w:r w:rsidRPr="00993BED">
        <w:rPr>
          <w:rFonts w:ascii="Verdana" w:eastAsia="Times New Roman" w:hAnsi="Verdana" w:cs="Times New Roman"/>
          <w:color w:val="333333"/>
          <w:sz w:val="18"/>
          <w:szCs w:val="18"/>
          <w:lang w:eastAsia="pl-PL"/>
        </w:rPr>
        <w:t>deksametazonu</w:t>
      </w:r>
      <w:proofErr w:type="spellEnd"/>
      <w:r w:rsidRPr="00993BED">
        <w:rPr>
          <w:rFonts w:ascii="Verdana" w:eastAsia="Times New Roman" w:hAnsi="Verdana" w:cs="Times New Roman"/>
          <w:color w:val="333333"/>
          <w:sz w:val="18"/>
          <w:szCs w:val="18"/>
          <w:lang w:eastAsia="pl-PL"/>
        </w:rPr>
        <w:t xml:space="preserve"> – kiedy rozpoczynać leczenie, jaką dawkę stosować, czy można podawać </w:t>
      </w:r>
      <w:proofErr w:type="spellStart"/>
      <w:r w:rsidRPr="00993BED">
        <w:rPr>
          <w:rFonts w:ascii="Verdana" w:eastAsia="Times New Roman" w:hAnsi="Verdana" w:cs="Times New Roman"/>
          <w:color w:val="333333"/>
          <w:sz w:val="18"/>
          <w:szCs w:val="18"/>
          <w:lang w:eastAsia="pl-PL"/>
        </w:rPr>
        <w:t>glikokortykosteroid</w:t>
      </w:r>
      <w:proofErr w:type="spellEnd"/>
      <w:r w:rsidRPr="00993BED">
        <w:rPr>
          <w:rFonts w:ascii="Verdana" w:eastAsia="Times New Roman" w:hAnsi="Verdana" w:cs="Times New Roman"/>
          <w:color w:val="333333"/>
          <w:sz w:val="18"/>
          <w:szCs w:val="18"/>
          <w:lang w:eastAsia="pl-PL"/>
        </w:rPr>
        <w:t xml:space="preserve"> (GKS), jeśli </w:t>
      </w:r>
      <w:proofErr w:type="spellStart"/>
      <w:r w:rsidRPr="00993BED">
        <w:rPr>
          <w:rFonts w:ascii="Verdana" w:eastAsia="Times New Roman" w:hAnsi="Verdana" w:cs="Times New Roman"/>
          <w:color w:val="333333"/>
          <w:sz w:val="18"/>
          <w:szCs w:val="18"/>
          <w:lang w:eastAsia="pl-PL"/>
        </w:rPr>
        <w:t>remdesiwir</w:t>
      </w:r>
      <w:proofErr w:type="spellEnd"/>
      <w:r w:rsidRPr="00993BED">
        <w:rPr>
          <w:rFonts w:ascii="Verdana" w:eastAsia="Times New Roman" w:hAnsi="Verdana" w:cs="Times New Roman"/>
          <w:color w:val="333333"/>
          <w:sz w:val="18"/>
          <w:szCs w:val="18"/>
          <w:lang w:eastAsia="pl-PL"/>
        </w:rPr>
        <w:t xml:space="preserve"> jest niedostępny, itd. Poruszono także kwestię możliwości leczenia pacjentów z objawami niewydolności oddechowej w warunkach domowych w sytuacji znacznie utrudnionego dostępu do szpitali. Poniżej próbujemy odpowiedzieć na te pytania.</w:t>
      </w:r>
    </w:p>
    <w:p w:rsidR="00993BED" w:rsidRPr="00993BED" w:rsidRDefault="00993BED" w:rsidP="00993BED">
      <w:pPr>
        <w:shd w:val="clear" w:color="auto" w:fill="FFFFFF"/>
        <w:spacing w:before="100" w:beforeAutospacing="1" w:after="100" w:afterAutospacing="1" w:line="240" w:lineRule="auto"/>
        <w:outlineLvl w:val="2"/>
        <w:rPr>
          <w:rFonts w:ascii="inherit" w:eastAsia="Times New Roman" w:hAnsi="inherit" w:cs="Times New Roman"/>
          <w:color w:val="000000"/>
          <w:sz w:val="27"/>
          <w:szCs w:val="27"/>
          <w:lang w:eastAsia="pl-PL"/>
        </w:rPr>
      </w:pPr>
      <w:r w:rsidRPr="00993BED">
        <w:rPr>
          <w:rFonts w:ascii="inherit" w:eastAsia="Times New Roman" w:hAnsi="inherit" w:cs="Times New Roman"/>
          <w:color w:val="000000"/>
          <w:sz w:val="27"/>
          <w:szCs w:val="27"/>
          <w:lang w:eastAsia="pl-PL"/>
        </w:rPr>
        <w:t xml:space="preserve">1. Kiedy należy rozpocząć leczenie </w:t>
      </w:r>
      <w:proofErr w:type="spellStart"/>
      <w:r w:rsidRPr="00993BED">
        <w:rPr>
          <w:rFonts w:ascii="inherit" w:eastAsia="Times New Roman" w:hAnsi="inherit" w:cs="Times New Roman"/>
          <w:color w:val="000000"/>
          <w:sz w:val="27"/>
          <w:szCs w:val="27"/>
          <w:lang w:eastAsia="pl-PL"/>
        </w:rPr>
        <w:t>deksametazonem</w:t>
      </w:r>
      <w:proofErr w:type="spellEnd"/>
      <w:r w:rsidRPr="00993BED">
        <w:rPr>
          <w:rFonts w:ascii="inherit" w:eastAsia="Times New Roman" w:hAnsi="inherit" w:cs="Times New Roman"/>
          <w:color w:val="000000"/>
          <w:sz w:val="27"/>
          <w:szCs w:val="27"/>
          <w:lang w:eastAsia="pl-PL"/>
        </w:rPr>
        <w:t>?</w:t>
      </w:r>
    </w:p>
    <w:p w:rsidR="00993BED" w:rsidRPr="00993BED" w:rsidRDefault="00993BED" w:rsidP="00993BED">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993BED">
        <w:rPr>
          <w:rFonts w:ascii="Verdana" w:eastAsia="Times New Roman" w:hAnsi="Verdana" w:cs="Times New Roman"/>
          <w:color w:val="333333"/>
          <w:sz w:val="18"/>
          <w:szCs w:val="18"/>
          <w:lang w:eastAsia="pl-PL"/>
        </w:rPr>
        <w:lastRenderedPageBreak/>
        <w:t xml:space="preserve">Skuteczność </w:t>
      </w:r>
      <w:proofErr w:type="spellStart"/>
      <w:r w:rsidRPr="00993BED">
        <w:rPr>
          <w:rFonts w:ascii="Verdana" w:eastAsia="Times New Roman" w:hAnsi="Verdana" w:cs="Times New Roman"/>
          <w:color w:val="333333"/>
          <w:sz w:val="18"/>
          <w:szCs w:val="18"/>
          <w:lang w:eastAsia="pl-PL"/>
        </w:rPr>
        <w:t>deksametazonu</w:t>
      </w:r>
      <w:proofErr w:type="spellEnd"/>
      <w:r w:rsidRPr="00993BED">
        <w:rPr>
          <w:rFonts w:ascii="Verdana" w:eastAsia="Times New Roman" w:hAnsi="Verdana" w:cs="Times New Roman"/>
          <w:color w:val="333333"/>
          <w:sz w:val="18"/>
          <w:szCs w:val="18"/>
          <w:lang w:eastAsia="pl-PL"/>
        </w:rPr>
        <w:t xml:space="preserve"> wykazano w bardzo dużym wieloośrodkowym badaniu z randomizacją (RCT) o akronimie RECOVERY, w którym oceniono ryzyko zgonu w ciągu 28 dni u chorych leczonych z powodu COVID-19 w szpitalu (chorzy, z bardzo nielicznymi wyjątkami, nie otrzymywali </w:t>
      </w:r>
      <w:proofErr w:type="spellStart"/>
      <w:r w:rsidRPr="00993BED">
        <w:rPr>
          <w:rFonts w:ascii="Verdana" w:eastAsia="Times New Roman" w:hAnsi="Verdana" w:cs="Times New Roman"/>
          <w:color w:val="333333"/>
          <w:sz w:val="18"/>
          <w:szCs w:val="18"/>
          <w:lang w:eastAsia="pl-PL"/>
        </w:rPr>
        <w:t>remdesiwiru</w:t>
      </w:r>
      <w:proofErr w:type="spellEnd"/>
      <w:r w:rsidRPr="00993BED">
        <w:rPr>
          <w:rFonts w:ascii="Verdana" w:eastAsia="Times New Roman" w:hAnsi="Verdana" w:cs="Times New Roman"/>
          <w:color w:val="333333"/>
          <w:sz w:val="18"/>
          <w:szCs w:val="18"/>
          <w:lang w:eastAsia="pl-PL"/>
        </w:rPr>
        <w:t>).</w:t>
      </w:r>
      <w:r w:rsidRPr="00993BED">
        <w:rPr>
          <w:rFonts w:ascii="Verdana" w:eastAsia="Times New Roman" w:hAnsi="Verdana" w:cs="Times New Roman"/>
          <w:color w:val="333333"/>
          <w:sz w:val="16"/>
          <w:szCs w:val="16"/>
          <w:vertAlign w:val="superscript"/>
          <w:lang w:eastAsia="pl-PL"/>
        </w:rPr>
        <w:t>10</w:t>
      </w:r>
      <w:r w:rsidRPr="00993BED">
        <w:rPr>
          <w:rFonts w:ascii="Verdana" w:eastAsia="Times New Roman" w:hAnsi="Verdana" w:cs="Times New Roman"/>
          <w:color w:val="333333"/>
          <w:sz w:val="18"/>
          <w:szCs w:val="18"/>
          <w:lang w:eastAsia="pl-PL"/>
        </w:rPr>
        <w:t xml:space="preserve"> Badanie to zostało szczegółowe omówione w nr. 7–8/2020 „Medycyny Praktycznej”. Wykazano w nim, że dodanie do leczenia standardowego (objawowego) </w:t>
      </w:r>
      <w:proofErr w:type="spellStart"/>
      <w:r w:rsidRPr="00993BED">
        <w:rPr>
          <w:rFonts w:ascii="Verdana" w:eastAsia="Times New Roman" w:hAnsi="Verdana" w:cs="Times New Roman"/>
          <w:color w:val="333333"/>
          <w:sz w:val="18"/>
          <w:szCs w:val="18"/>
          <w:lang w:eastAsia="pl-PL"/>
        </w:rPr>
        <w:t>deksametazonu</w:t>
      </w:r>
      <w:proofErr w:type="spellEnd"/>
      <w:r w:rsidRPr="00993BED">
        <w:rPr>
          <w:rFonts w:ascii="Verdana" w:eastAsia="Times New Roman" w:hAnsi="Verdana" w:cs="Times New Roman"/>
          <w:color w:val="333333"/>
          <w:sz w:val="18"/>
          <w:szCs w:val="18"/>
          <w:lang w:eastAsia="pl-PL"/>
        </w:rPr>
        <w:t xml:space="preserve"> w dawce 6 mg 1 × dz. dożylnie lub doustnie przez maksymalnie 10 dni wiązało się, w porównaniu z samym leczeniem standardowym, ze zmniejszeniem śmiertelności w ciągu 28 dni u chorych wymagających tlenoterapii lub inwazyjnej wentylacji mechanicznej. Nie stwierdzono natomiast tego efektu u chorych, którzy nie wymagali tlenoterapii, ani inwazyjnej wentylacji mechanicznej. Co ciekawe, w grupie chorych niewymagających tlenoterapii ryzyko zgonu w ciągu 28 dni było większe u leczonych </w:t>
      </w:r>
      <w:proofErr w:type="spellStart"/>
      <w:r w:rsidRPr="00993BED">
        <w:rPr>
          <w:rFonts w:ascii="Verdana" w:eastAsia="Times New Roman" w:hAnsi="Verdana" w:cs="Times New Roman"/>
          <w:color w:val="333333"/>
          <w:sz w:val="18"/>
          <w:szCs w:val="18"/>
          <w:lang w:eastAsia="pl-PL"/>
        </w:rPr>
        <w:t>deksametazonem</w:t>
      </w:r>
      <w:proofErr w:type="spellEnd"/>
      <w:r w:rsidRPr="00993BED">
        <w:rPr>
          <w:rFonts w:ascii="Verdana" w:eastAsia="Times New Roman" w:hAnsi="Verdana" w:cs="Times New Roman"/>
          <w:color w:val="333333"/>
          <w:sz w:val="18"/>
          <w:szCs w:val="18"/>
          <w:lang w:eastAsia="pl-PL"/>
        </w:rPr>
        <w:t xml:space="preserve">. I choć jakość danych dotyczących efektu w podgrupach oceniono jako niską, w wytycznych zarówno WHO, amerykańskich </w:t>
      </w:r>
      <w:proofErr w:type="spellStart"/>
      <w:r w:rsidRPr="00993BED">
        <w:rPr>
          <w:rFonts w:ascii="Verdana" w:eastAsia="Times New Roman" w:hAnsi="Verdana" w:cs="Times New Roman"/>
          <w:color w:val="333333"/>
          <w:sz w:val="18"/>
          <w:szCs w:val="18"/>
          <w:lang w:eastAsia="pl-PL"/>
        </w:rPr>
        <w:t>National</w:t>
      </w:r>
      <w:proofErr w:type="spellEnd"/>
      <w:r w:rsidRPr="00993BED">
        <w:rPr>
          <w:rFonts w:ascii="Verdana" w:eastAsia="Times New Roman" w:hAnsi="Verdana" w:cs="Times New Roman"/>
          <w:color w:val="333333"/>
          <w:sz w:val="18"/>
          <w:szCs w:val="18"/>
          <w:lang w:eastAsia="pl-PL"/>
        </w:rPr>
        <w:t xml:space="preserve"> </w:t>
      </w:r>
      <w:proofErr w:type="spellStart"/>
      <w:r w:rsidRPr="00993BED">
        <w:rPr>
          <w:rFonts w:ascii="Verdana" w:eastAsia="Times New Roman" w:hAnsi="Verdana" w:cs="Times New Roman"/>
          <w:color w:val="333333"/>
          <w:sz w:val="18"/>
          <w:szCs w:val="18"/>
          <w:lang w:eastAsia="pl-PL"/>
        </w:rPr>
        <w:t>Institutes</w:t>
      </w:r>
      <w:proofErr w:type="spellEnd"/>
      <w:r w:rsidRPr="00993BED">
        <w:rPr>
          <w:rFonts w:ascii="Verdana" w:eastAsia="Times New Roman" w:hAnsi="Verdana" w:cs="Times New Roman"/>
          <w:color w:val="333333"/>
          <w:sz w:val="18"/>
          <w:szCs w:val="18"/>
          <w:lang w:eastAsia="pl-PL"/>
        </w:rPr>
        <w:t xml:space="preserve"> of </w:t>
      </w:r>
      <w:proofErr w:type="spellStart"/>
      <w:r w:rsidRPr="00993BED">
        <w:rPr>
          <w:rFonts w:ascii="Verdana" w:eastAsia="Times New Roman" w:hAnsi="Verdana" w:cs="Times New Roman"/>
          <w:color w:val="333333"/>
          <w:sz w:val="18"/>
          <w:szCs w:val="18"/>
          <w:lang w:eastAsia="pl-PL"/>
        </w:rPr>
        <w:t>Health</w:t>
      </w:r>
      <w:proofErr w:type="spellEnd"/>
      <w:r w:rsidRPr="00993BED">
        <w:rPr>
          <w:rFonts w:ascii="Verdana" w:eastAsia="Times New Roman" w:hAnsi="Verdana" w:cs="Times New Roman"/>
          <w:color w:val="333333"/>
          <w:sz w:val="18"/>
          <w:szCs w:val="18"/>
          <w:lang w:eastAsia="pl-PL"/>
        </w:rPr>
        <w:t xml:space="preserve"> (NIH), </w:t>
      </w:r>
      <w:proofErr w:type="spellStart"/>
      <w:r w:rsidRPr="00993BED">
        <w:rPr>
          <w:rFonts w:ascii="Verdana" w:eastAsia="Times New Roman" w:hAnsi="Verdana" w:cs="Times New Roman"/>
          <w:color w:val="333333"/>
          <w:sz w:val="18"/>
          <w:szCs w:val="18"/>
          <w:lang w:eastAsia="pl-PL"/>
        </w:rPr>
        <w:t>Infectious</w:t>
      </w:r>
      <w:proofErr w:type="spellEnd"/>
      <w:r w:rsidRPr="00993BED">
        <w:rPr>
          <w:rFonts w:ascii="Verdana" w:eastAsia="Times New Roman" w:hAnsi="Verdana" w:cs="Times New Roman"/>
          <w:color w:val="333333"/>
          <w:sz w:val="18"/>
          <w:szCs w:val="18"/>
          <w:lang w:eastAsia="pl-PL"/>
        </w:rPr>
        <w:t xml:space="preserve"> </w:t>
      </w:r>
      <w:proofErr w:type="spellStart"/>
      <w:r w:rsidRPr="00993BED">
        <w:rPr>
          <w:rFonts w:ascii="Verdana" w:eastAsia="Times New Roman" w:hAnsi="Verdana" w:cs="Times New Roman"/>
          <w:color w:val="333333"/>
          <w:sz w:val="18"/>
          <w:szCs w:val="18"/>
          <w:lang w:eastAsia="pl-PL"/>
        </w:rPr>
        <w:t>Diseases</w:t>
      </w:r>
      <w:proofErr w:type="spellEnd"/>
      <w:r w:rsidRPr="00993BED">
        <w:rPr>
          <w:rFonts w:ascii="Verdana" w:eastAsia="Times New Roman" w:hAnsi="Verdana" w:cs="Times New Roman"/>
          <w:color w:val="333333"/>
          <w:sz w:val="18"/>
          <w:szCs w:val="18"/>
          <w:lang w:eastAsia="pl-PL"/>
        </w:rPr>
        <w:t xml:space="preserve"> </w:t>
      </w:r>
      <w:proofErr w:type="spellStart"/>
      <w:r w:rsidRPr="00993BED">
        <w:rPr>
          <w:rFonts w:ascii="Verdana" w:eastAsia="Times New Roman" w:hAnsi="Verdana" w:cs="Times New Roman"/>
          <w:color w:val="333333"/>
          <w:sz w:val="18"/>
          <w:szCs w:val="18"/>
          <w:lang w:eastAsia="pl-PL"/>
        </w:rPr>
        <w:t>Society</w:t>
      </w:r>
      <w:proofErr w:type="spellEnd"/>
      <w:r w:rsidRPr="00993BED">
        <w:rPr>
          <w:rFonts w:ascii="Verdana" w:eastAsia="Times New Roman" w:hAnsi="Verdana" w:cs="Times New Roman"/>
          <w:color w:val="333333"/>
          <w:sz w:val="18"/>
          <w:szCs w:val="18"/>
          <w:lang w:eastAsia="pl-PL"/>
        </w:rPr>
        <w:t xml:space="preserve"> of </w:t>
      </w:r>
      <w:proofErr w:type="spellStart"/>
      <w:r w:rsidRPr="00993BED">
        <w:rPr>
          <w:rFonts w:ascii="Verdana" w:eastAsia="Times New Roman" w:hAnsi="Verdana" w:cs="Times New Roman"/>
          <w:color w:val="333333"/>
          <w:sz w:val="18"/>
          <w:szCs w:val="18"/>
          <w:lang w:eastAsia="pl-PL"/>
        </w:rPr>
        <w:t>America</w:t>
      </w:r>
      <w:proofErr w:type="spellEnd"/>
      <w:r w:rsidRPr="00993BED">
        <w:rPr>
          <w:rFonts w:ascii="Verdana" w:eastAsia="Times New Roman" w:hAnsi="Verdana" w:cs="Times New Roman"/>
          <w:color w:val="333333"/>
          <w:sz w:val="18"/>
          <w:szCs w:val="18"/>
          <w:lang w:eastAsia="pl-PL"/>
        </w:rPr>
        <w:t xml:space="preserve"> (IDSA), jak i </w:t>
      </w:r>
      <w:proofErr w:type="spellStart"/>
      <w:r w:rsidRPr="00993BED">
        <w:rPr>
          <w:rFonts w:ascii="Verdana" w:eastAsia="Times New Roman" w:hAnsi="Verdana" w:cs="Times New Roman"/>
          <w:color w:val="333333"/>
          <w:sz w:val="18"/>
          <w:szCs w:val="18"/>
          <w:lang w:eastAsia="pl-PL"/>
        </w:rPr>
        <w:t>PTEiLChZ</w:t>
      </w:r>
      <w:proofErr w:type="spellEnd"/>
      <w:r w:rsidRPr="00993BED">
        <w:rPr>
          <w:rFonts w:ascii="Verdana" w:eastAsia="Times New Roman" w:hAnsi="Verdana" w:cs="Times New Roman"/>
          <w:color w:val="333333"/>
          <w:sz w:val="18"/>
          <w:szCs w:val="18"/>
          <w:lang w:eastAsia="pl-PL"/>
        </w:rPr>
        <w:t xml:space="preserve"> nie zaleca się podawania </w:t>
      </w:r>
      <w:proofErr w:type="spellStart"/>
      <w:r w:rsidRPr="00993BED">
        <w:rPr>
          <w:rFonts w:ascii="Verdana" w:eastAsia="Times New Roman" w:hAnsi="Verdana" w:cs="Times New Roman"/>
          <w:color w:val="333333"/>
          <w:sz w:val="18"/>
          <w:szCs w:val="18"/>
          <w:lang w:eastAsia="pl-PL"/>
        </w:rPr>
        <w:t>deksametazonu</w:t>
      </w:r>
      <w:proofErr w:type="spellEnd"/>
      <w:r w:rsidRPr="00993BED">
        <w:rPr>
          <w:rFonts w:ascii="Verdana" w:eastAsia="Times New Roman" w:hAnsi="Verdana" w:cs="Times New Roman"/>
          <w:color w:val="333333"/>
          <w:sz w:val="18"/>
          <w:szCs w:val="18"/>
          <w:lang w:eastAsia="pl-PL"/>
        </w:rPr>
        <w:t xml:space="preserve"> pacjentom, u których nie rozpoznaje się ciężkiej postaci COVID-19, wymagającej co najmniej konwencjonalnej tlenoterapii (tab.). W publikacji wyników badania RECOVERY nie podano wartości wysycenia hemoglobiny tlenem mierzonej </w:t>
      </w:r>
      <w:proofErr w:type="spellStart"/>
      <w:r w:rsidRPr="00993BED">
        <w:rPr>
          <w:rFonts w:ascii="Verdana" w:eastAsia="Times New Roman" w:hAnsi="Verdana" w:cs="Times New Roman"/>
          <w:color w:val="333333"/>
          <w:sz w:val="18"/>
          <w:szCs w:val="18"/>
          <w:lang w:eastAsia="pl-PL"/>
        </w:rPr>
        <w:t>pulsoksymetrem</w:t>
      </w:r>
      <w:proofErr w:type="spellEnd"/>
      <w:r w:rsidRPr="00993BED">
        <w:rPr>
          <w:rFonts w:ascii="Verdana" w:eastAsia="Times New Roman" w:hAnsi="Verdana" w:cs="Times New Roman"/>
          <w:color w:val="333333"/>
          <w:sz w:val="18"/>
          <w:szCs w:val="18"/>
          <w:lang w:eastAsia="pl-PL"/>
        </w:rPr>
        <w:t xml:space="preserve"> (SpO</w:t>
      </w:r>
      <w:r w:rsidRPr="00993BED">
        <w:rPr>
          <w:rFonts w:ascii="Verdana" w:eastAsia="Times New Roman" w:hAnsi="Verdana" w:cs="Times New Roman"/>
          <w:color w:val="333333"/>
          <w:sz w:val="16"/>
          <w:szCs w:val="16"/>
          <w:vertAlign w:val="subscript"/>
          <w:lang w:eastAsia="pl-PL"/>
        </w:rPr>
        <w:t>2</w:t>
      </w:r>
      <w:r w:rsidRPr="00993BED">
        <w:rPr>
          <w:rFonts w:ascii="Verdana" w:eastAsia="Times New Roman" w:hAnsi="Verdana" w:cs="Times New Roman"/>
          <w:color w:val="333333"/>
          <w:sz w:val="18"/>
          <w:szCs w:val="18"/>
          <w:lang w:eastAsia="pl-PL"/>
        </w:rPr>
        <w:t xml:space="preserve">), przy której rozpoczynano leczenie </w:t>
      </w:r>
      <w:proofErr w:type="spellStart"/>
      <w:r w:rsidRPr="00993BED">
        <w:rPr>
          <w:rFonts w:ascii="Verdana" w:eastAsia="Times New Roman" w:hAnsi="Verdana" w:cs="Times New Roman"/>
          <w:color w:val="333333"/>
          <w:sz w:val="18"/>
          <w:szCs w:val="18"/>
          <w:lang w:eastAsia="pl-PL"/>
        </w:rPr>
        <w:t>deksametazonem</w:t>
      </w:r>
      <w:proofErr w:type="spellEnd"/>
      <w:r w:rsidRPr="00993BED">
        <w:rPr>
          <w:rFonts w:ascii="Verdana" w:eastAsia="Times New Roman" w:hAnsi="Verdana" w:cs="Times New Roman"/>
          <w:color w:val="333333"/>
          <w:sz w:val="18"/>
          <w:szCs w:val="18"/>
          <w:lang w:eastAsia="pl-PL"/>
        </w:rPr>
        <w:t xml:space="preserve">. WHO jako granicę, poniżej której należy podać </w:t>
      </w:r>
      <w:proofErr w:type="spellStart"/>
      <w:r w:rsidRPr="00993BED">
        <w:rPr>
          <w:rFonts w:ascii="Verdana" w:eastAsia="Times New Roman" w:hAnsi="Verdana" w:cs="Times New Roman"/>
          <w:color w:val="333333"/>
          <w:sz w:val="18"/>
          <w:szCs w:val="18"/>
          <w:lang w:eastAsia="pl-PL"/>
        </w:rPr>
        <w:t>deksametazon</w:t>
      </w:r>
      <w:proofErr w:type="spellEnd"/>
      <w:r w:rsidRPr="00993BED">
        <w:rPr>
          <w:rFonts w:ascii="Verdana" w:eastAsia="Times New Roman" w:hAnsi="Verdana" w:cs="Times New Roman"/>
          <w:color w:val="333333"/>
          <w:sz w:val="18"/>
          <w:szCs w:val="18"/>
          <w:lang w:eastAsia="pl-PL"/>
        </w:rPr>
        <w:t>, podaje 90%, a IDSA – 94%.</w:t>
      </w:r>
    </w:p>
    <w:p w:rsidR="00993BED" w:rsidRPr="00993BED" w:rsidRDefault="00993BED" w:rsidP="00993BED">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993BED">
        <w:rPr>
          <w:rFonts w:ascii="Verdana" w:eastAsia="Times New Roman" w:hAnsi="Verdana" w:cs="Times New Roman"/>
          <w:color w:val="333333"/>
          <w:sz w:val="18"/>
          <w:szCs w:val="18"/>
          <w:lang w:eastAsia="pl-PL"/>
        </w:rPr>
        <w:t>U chorych w stanie ostrym tlenoterapię rozpoczyna się zwykle przy SpO</w:t>
      </w:r>
      <w:r w:rsidRPr="00993BED">
        <w:rPr>
          <w:rFonts w:ascii="Verdana" w:eastAsia="Times New Roman" w:hAnsi="Verdana" w:cs="Times New Roman"/>
          <w:color w:val="333333"/>
          <w:sz w:val="16"/>
          <w:szCs w:val="16"/>
          <w:vertAlign w:val="subscript"/>
          <w:lang w:eastAsia="pl-PL"/>
        </w:rPr>
        <w:t>2</w:t>
      </w:r>
      <w:r w:rsidRPr="00993BED">
        <w:rPr>
          <w:rFonts w:ascii="Verdana" w:eastAsia="Times New Roman" w:hAnsi="Verdana" w:cs="Times New Roman"/>
          <w:color w:val="333333"/>
          <w:sz w:val="18"/>
          <w:szCs w:val="18"/>
          <w:lang w:eastAsia="pl-PL"/>
        </w:rPr>
        <w:t xml:space="preserve"> &lt;90–92%. Postępując zgodnie z zasadami EBM i biorąc pod uwagę wyniki badania RECOVERY, u takich chorych należy włączyć leczenie </w:t>
      </w:r>
      <w:proofErr w:type="spellStart"/>
      <w:r w:rsidRPr="00993BED">
        <w:rPr>
          <w:rFonts w:ascii="Verdana" w:eastAsia="Times New Roman" w:hAnsi="Verdana" w:cs="Times New Roman"/>
          <w:color w:val="333333"/>
          <w:sz w:val="18"/>
          <w:szCs w:val="18"/>
          <w:lang w:eastAsia="pl-PL"/>
        </w:rPr>
        <w:t>deksametazonem</w:t>
      </w:r>
      <w:proofErr w:type="spellEnd"/>
      <w:r w:rsidRPr="00993BED">
        <w:rPr>
          <w:rFonts w:ascii="Verdana" w:eastAsia="Times New Roman" w:hAnsi="Verdana" w:cs="Times New Roman"/>
          <w:color w:val="333333"/>
          <w:sz w:val="18"/>
          <w:szCs w:val="18"/>
          <w:lang w:eastAsia="pl-PL"/>
        </w:rPr>
        <w:t>. Co jednak z pacjentami w stadium 2, z SpO</w:t>
      </w:r>
      <w:r w:rsidRPr="00993BED">
        <w:rPr>
          <w:rFonts w:ascii="Verdana" w:eastAsia="Times New Roman" w:hAnsi="Verdana" w:cs="Times New Roman"/>
          <w:color w:val="333333"/>
          <w:sz w:val="16"/>
          <w:szCs w:val="16"/>
          <w:vertAlign w:val="subscript"/>
          <w:lang w:eastAsia="pl-PL"/>
        </w:rPr>
        <w:t>2</w:t>
      </w:r>
      <w:r w:rsidRPr="00993BED">
        <w:rPr>
          <w:rFonts w:ascii="Verdana" w:eastAsia="Times New Roman" w:hAnsi="Verdana" w:cs="Times New Roman"/>
          <w:color w:val="333333"/>
          <w:sz w:val="18"/>
          <w:szCs w:val="18"/>
          <w:lang w:eastAsia="pl-PL"/>
        </w:rPr>
        <w:t> w przedziale 92(90)–95%? Prawidłowa wartość SpO</w:t>
      </w:r>
      <w:r w:rsidRPr="00993BED">
        <w:rPr>
          <w:rFonts w:ascii="Verdana" w:eastAsia="Times New Roman" w:hAnsi="Verdana" w:cs="Times New Roman"/>
          <w:color w:val="333333"/>
          <w:sz w:val="16"/>
          <w:szCs w:val="16"/>
          <w:vertAlign w:val="subscript"/>
          <w:lang w:eastAsia="pl-PL"/>
        </w:rPr>
        <w:t>2</w:t>
      </w:r>
      <w:r w:rsidRPr="00993BED">
        <w:rPr>
          <w:rFonts w:ascii="Verdana" w:eastAsia="Times New Roman" w:hAnsi="Verdana" w:cs="Times New Roman"/>
          <w:color w:val="333333"/>
          <w:sz w:val="18"/>
          <w:szCs w:val="18"/>
          <w:lang w:eastAsia="pl-PL"/>
        </w:rPr>
        <w:t xml:space="preserve"> dla osób zdrowych bez przewlekłej niewydolności oddechowej mieści się w przedziale 95–98% (u osób &gt;70. </w:t>
      </w:r>
      <w:proofErr w:type="spellStart"/>
      <w:r w:rsidRPr="00993BED">
        <w:rPr>
          <w:rFonts w:ascii="Verdana" w:eastAsia="Times New Roman" w:hAnsi="Verdana" w:cs="Times New Roman"/>
          <w:color w:val="333333"/>
          <w:sz w:val="18"/>
          <w:szCs w:val="18"/>
          <w:lang w:eastAsia="pl-PL"/>
        </w:rPr>
        <w:t>rż</w:t>
      </w:r>
      <w:proofErr w:type="spellEnd"/>
      <w:r w:rsidRPr="00993BED">
        <w:rPr>
          <w:rFonts w:ascii="Verdana" w:eastAsia="Times New Roman" w:hAnsi="Verdana" w:cs="Times New Roman"/>
          <w:color w:val="333333"/>
          <w:sz w:val="18"/>
          <w:szCs w:val="18"/>
          <w:lang w:eastAsia="pl-PL"/>
        </w:rPr>
        <w:t xml:space="preserve">. – 94–98%). Jeśli u osoby dotąd zdrowej wyjściowa wartość SpO2 była prawidłowa, ale wraz z rozwojem choroby się zmniejszyła (np. z 98% na 92%), szczególnie przy nasilających się objawach klinicznych – jest to sygnał, że bariera wymiany gazowej została istotnie uszkodzona, a proces chorobowy się rozwija. W takiej sytuacji chorego należy skierować do szpitala, nie powinno się zwlekać z rozpoczęciem tlenoterapii; sugerujemy rozpoczęcie u nich leczenia </w:t>
      </w:r>
      <w:proofErr w:type="spellStart"/>
      <w:r w:rsidRPr="00993BED">
        <w:rPr>
          <w:rFonts w:ascii="Verdana" w:eastAsia="Times New Roman" w:hAnsi="Verdana" w:cs="Times New Roman"/>
          <w:color w:val="333333"/>
          <w:sz w:val="18"/>
          <w:szCs w:val="18"/>
          <w:lang w:eastAsia="pl-PL"/>
        </w:rPr>
        <w:t>deksametazonem</w:t>
      </w:r>
      <w:proofErr w:type="spellEnd"/>
      <w:r w:rsidRPr="00993BED">
        <w:rPr>
          <w:rFonts w:ascii="Verdana" w:eastAsia="Times New Roman" w:hAnsi="Verdana" w:cs="Times New Roman"/>
          <w:color w:val="333333"/>
          <w:sz w:val="18"/>
          <w:szCs w:val="18"/>
          <w:lang w:eastAsia="pl-PL"/>
        </w:rPr>
        <w:t>. Natomiast u osoby z przewlekłą niewydolnością oddechową niewielkiego stopnia, która miała zmniejszoną wartość SpO</w:t>
      </w:r>
      <w:r w:rsidRPr="00993BED">
        <w:rPr>
          <w:rFonts w:ascii="Verdana" w:eastAsia="Times New Roman" w:hAnsi="Verdana" w:cs="Times New Roman"/>
          <w:color w:val="333333"/>
          <w:sz w:val="16"/>
          <w:szCs w:val="16"/>
          <w:vertAlign w:val="subscript"/>
          <w:lang w:eastAsia="pl-PL"/>
        </w:rPr>
        <w:t>2</w:t>
      </w:r>
      <w:r w:rsidRPr="00993BED">
        <w:rPr>
          <w:rFonts w:ascii="Verdana" w:eastAsia="Times New Roman" w:hAnsi="Verdana" w:cs="Times New Roman"/>
          <w:color w:val="333333"/>
          <w:sz w:val="18"/>
          <w:szCs w:val="18"/>
          <w:lang w:eastAsia="pl-PL"/>
        </w:rPr>
        <w:t xml:space="preserve"> przed zachorowaniem na COVID-19, ale nie obserwuje się u niej pogorszenia stanu klinicznego ani narastania cech niewydolności oddechowej (przebieg COVID-19 jest łagodny) – nie ma jednoznacznych wskazań do rozpoczęcia leczenia </w:t>
      </w:r>
      <w:proofErr w:type="spellStart"/>
      <w:r w:rsidRPr="00993BED">
        <w:rPr>
          <w:rFonts w:ascii="Verdana" w:eastAsia="Times New Roman" w:hAnsi="Verdana" w:cs="Times New Roman"/>
          <w:color w:val="333333"/>
          <w:sz w:val="18"/>
          <w:szCs w:val="18"/>
          <w:lang w:eastAsia="pl-PL"/>
        </w:rPr>
        <w:t>deksametazonem</w:t>
      </w:r>
      <w:proofErr w:type="spellEnd"/>
      <w:r w:rsidRPr="00993BED">
        <w:rPr>
          <w:rFonts w:ascii="Verdana" w:eastAsia="Times New Roman" w:hAnsi="Verdana" w:cs="Times New Roman"/>
          <w:color w:val="333333"/>
          <w:sz w:val="18"/>
          <w:szCs w:val="18"/>
          <w:lang w:eastAsia="pl-PL"/>
        </w:rPr>
        <w:t xml:space="preserve"> pomimo wartości SpO</w:t>
      </w:r>
      <w:r w:rsidRPr="00993BED">
        <w:rPr>
          <w:rFonts w:ascii="Verdana" w:eastAsia="Times New Roman" w:hAnsi="Verdana" w:cs="Times New Roman"/>
          <w:color w:val="333333"/>
          <w:sz w:val="16"/>
          <w:szCs w:val="16"/>
          <w:vertAlign w:val="subscript"/>
          <w:lang w:eastAsia="pl-PL"/>
        </w:rPr>
        <w:t>2</w:t>
      </w:r>
      <w:r w:rsidRPr="00993BED">
        <w:rPr>
          <w:rFonts w:ascii="Verdana" w:eastAsia="Times New Roman" w:hAnsi="Verdana" w:cs="Times New Roman"/>
          <w:color w:val="333333"/>
          <w:sz w:val="18"/>
          <w:szCs w:val="18"/>
          <w:lang w:eastAsia="pl-PL"/>
        </w:rPr>
        <w:t> nieco poniżej progu wskazanego w wytycznych. Pacjenci z przewlekłą chorobą płuc należą jednak do grupy ryzyka ciężkiego przebiegu COVID-19 i nawet jeśli przebieg choroby wydaje się łagodny, wymagają uważnego monitorowania, ponieważ w każdej chwili ich stan kliniczny może się gwałtownie pogorszyć.</w:t>
      </w:r>
    </w:p>
    <w:p w:rsidR="00993BED" w:rsidRPr="00993BED" w:rsidRDefault="00993BED" w:rsidP="00993BED">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993BED">
        <w:rPr>
          <w:rFonts w:ascii="Verdana" w:eastAsia="Times New Roman" w:hAnsi="Verdana" w:cs="Times New Roman"/>
          <w:color w:val="333333"/>
          <w:sz w:val="18"/>
          <w:szCs w:val="18"/>
          <w:lang w:eastAsia="pl-PL"/>
        </w:rPr>
        <w:t xml:space="preserve">Do stadium 2 według zaleceń </w:t>
      </w:r>
      <w:proofErr w:type="spellStart"/>
      <w:r w:rsidRPr="00993BED">
        <w:rPr>
          <w:rFonts w:ascii="Verdana" w:eastAsia="Times New Roman" w:hAnsi="Verdana" w:cs="Times New Roman"/>
          <w:color w:val="333333"/>
          <w:sz w:val="18"/>
          <w:szCs w:val="18"/>
          <w:lang w:eastAsia="pl-PL"/>
        </w:rPr>
        <w:t>PTEiLChZ</w:t>
      </w:r>
      <w:proofErr w:type="spellEnd"/>
      <w:r w:rsidRPr="00993BED">
        <w:rPr>
          <w:rFonts w:ascii="Verdana" w:eastAsia="Times New Roman" w:hAnsi="Verdana" w:cs="Times New Roman"/>
          <w:color w:val="333333"/>
          <w:sz w:val="18"/>
          <w:szCs w:val="18"/>
          <w:lang w:eastAsia="pl-PL"/>
        </w:rPr>
        <w:t xml:space="preserve"> należy zatem zakwalifikować pacjentów z COVID-19, u których pojawiły się już cechy niewydolności oddechowej i którzy wymagają z tego powodu leczenia w warunkach szpitalnych. U chorych w 2. tygodniu choroby, którzy wymagają tlenoterapii, rozpoczęcie leczenia </w:t>
      </w:r>
      <w:proofErr w:type="spellStart"/>
      <w:r w:rsidRPr="00993BED">
        <w:rPr>
          <w:rFonts w:ascii="Verdana" w:eastAsia="Times New Roman" w:hAnsi="Verdana" w:cs="Times New Roman"/>
          <w:color w:val="333333"/>
          <w:sz w:val="18"/>
          <w:szCs w:val="18"/>
          <w:lang w:eastAsia="pl-PL"/>
        </w:rPr>
        <w:t>deksametazonem</w:t>
      </w:r>
      <w:proofErr w:type="spellEnd"/>
      <w:r w:rsidRPr="00993BED">
        <w:rPr>
          <w:rFonts w:ascii="Verdana" w:eastAsia="Times New Roman" w:hAnsi="Verdana" w:cs="Times New Roman"/>
          <w:color w:val="333333"/>
          <w:sz w:val="18"/>
          <w:szCs w:val="18"/>
          <w:lang w:eastAsia="pl-PL"/>
        </w:rPr>
        <w:t xml:space="preserve"> jest zdecydowanie wskazane. Decyzja o wdrożeniu </w:t>
      </w:r>
      <w:proofErr w:type="spellStart"/>
      <w:r w:rsidRPr="00993BED">
        <w:rPr>
          <w:rFonts w:ascii="Verdana" w:eastAsia="Times New Roman" w:hAnsi="Verdana" w:cs="Times New Roman"/>
          <w:color w:val="333333"/>
          <w:sz w:val="18"/>
          <w:szCs w:val="18"/>
          <w:lang w:eastAsia="pl-PL"/>
        </w:rPr>
        <w:t>kortykterapii</w:t>
      </w:r>
      <w:proofErr w:type="spellEnd"/>
      <w:r w:rsidRPr="00993BED">
        <w:rPr>
          <w:rFonts w:ascii="Verdana" w:eastAsia="Times New Roman" w:hAnsi="Verdana" w:cs="Times New Roman"/>
          <w:color w:val="333333"/>
          <w:sz w:val="18"/>
          <w:szCs w:val="18"/>
          <w:lang w:eastAsia="pl-PL"/>
        </w:rPr>
        <w:t xml:space="preserve"> na początku choroby powinna natomiast zależeć od indywidualnego przypadku.</w:t>
      </w:r>
    </w:p>
    <w:p w:rsidR="00993BED" w:rsidRPr="00993BED" w:rsidRDefault="00993BED" w:rsidP="00993BED">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993BED">
        <w:rPr>
          <w:rFonts w:ascii="Verdana" w:eastAsia="Times New Roman" w:hAnsi="Verdana" w:cs="Times New Roman"/>
          <w:color w:val="333333"/>
          <w:sz w:val="18"/>
          <w:szCs w:val="18"/>
          <w:lang w:eastAsia="pl-PL"/>
        </w:rPr>
        <w:t xml:space="preserve">W uwagach końcowych eksperci </w:t>
      </w:r>
      <w:proofErr w:type="spellStart"/>
      <w:r w:rsidRPr="00993BED">
        <w:rPr>
          <w:rFonts w:ascii="Verdana" w:eastAsia="Times New Roman" w:hAnsi="Verdana" w:cs="Times New Roman"/>
          <w:color w:val="333333"/>
          <w:sz w:val="18"/>
          <w:szCs w:val="18"/>
          <w:lang w:eastAsia="pl-PL"/>
        </w:rPr>
        <w:t>PTEiLChZ</w:t>
      </w:r>
      <w:proofErr w:type="spellEnd"/>
      <w:r w:rsidRPr="00993BED">
        <w:rPr>
          <w:rFonts w:ascii="Verdana" w:eastAsia="Times New Roman" w:hAnsi="Verdana" w:cs="Times New Roman"/>
          <w:color w:val="333333"/>
          <w:sz w:val="18"/>
          <w:szCs w:val="18"/>
          <w:lang w:eastAsia="pl-PL"/>
        </w:rPr>
        <w:t xml:space="preserve"> stwierdzili: „Stosowanie małych dawek </w:t>
      </w:r>
      <w:proofErr w:type="spellStart"/>
      <w:r w:rsidRPr="00993BED">
        <w:rPr>
          <w:rFonts w:ascii="Verdana" w:eastAsia="Times New Roman" w:hAnsi="Verdana" w:cs="Times New Roman"/>
          <w:color w:val="333333"/>
          <w:sz w:val="18"/>
          <w:szCs w:val="18"/>
          <w:lang w:eastAsia="pl-PL"/>
        </w:rPr>
        <w:t>glikokortykosteroidów</w:t>
      </w:r>
      <w:proofErr w:type="spellEnd"/>
      <w:r w:rsidRPr="00993BED">
        <w:rPr>
          <w:rFonts w:ascii="Verdana" w:eastAsia="Times New Roman" w:hAnsi="Verdana" w:cs="Times New Roman"/>
          <w:color w:val="333333"/>
          <w:sz w:val="18"/>
          <w:szCs w:val="18"/>
          <w:lang w:eastAsia="pl-PL"/>
        </w:rPr>
        <w:t xml:space="preserve"> w stadium 2 jest dopuszczalne pod warunkiem jednoczasowego podawania leków przeciwwirusowych (</w:t>
      </w:r>
      <w:proofErr w:type="spellStart"/>
      <w:r w:rsidRPr="00993BED">
        <w:rPr>
          <w:rFonts w:ascii="Verdana" w:eastAsia="Times New Roman" w:hAnsi="Verdana" w:cs="Times New Roman"/>
          <w:color w:val="333333"/>
          <w:sz w:val="18"/>
          <w:szCs w:val="18"/>
          <w:lang w:eastAsia="pl-PL"/>
        </w:rPr>
        <w:t>remdesiwir</w:t>
      </w:r>
      <w:proofErr w:type="spellEnd"/>
      <w:r w:rsidRPr="00993BED">
        <w:rPr>
          <w:rFonts w:ascii="Verdana" w:eastAsia="Times New Roman" w:hAnsi="Verdana" w:cs="Times New Roman"/>
          <w:color w:val="333333"/>
          <w:sz w:val="18"/>
          <w:szCs w:val="18"/>
          <w:lang w:eastAsia="pl-PL"/>
        </w:rPr>
        <w:t xml:space="preserve">)”. Jak należy rozumieć tę uwagę? W badaniu RECOVERY korzyść z leczenia </w:t>
      </w:r>
      <w:proofErr w:type="spellStart"/>
      <w:r w:rsidRPr="00993BED">
        <w:rPr>
          <w:rFonts w:ascii="Verdana" w:eastAsia="Times New Roman" w:hAnsi="Verdana" w:cs="Times New Roman"/>
          <w:color w:val="333333"/>
          <w:sz w:val="18"/>
          <w:szCs w:val="18"/>
          <w:lang w:eastAsia="pl-PL"/>
        </w:rPr>
        <w:t>deksametazonem</w:t>
      </w:r>
      <w:proofErr w:type="spellEnd"/>
      <w:r w:rsidRPr="00993BED">
        <w:rPr>
          <w:rFonts w:ascii="Verdana" w:eastAsia="Times New Roman" w:hAnsi="Verdana" w:cs="Times New Roman"/>
          <w:color w:val="333333"/>
          <w:sz w:val="18"/>
          <w:szCs w:val="18"/>
          <w:lang w:eastAsia="pl-PL"/>
        </w:rPr>
        <w:t xml:space="preserve"> odnosili chorzy, którzy byli głównie w późniejszej fazie choroby wymagającej tlenoterapii, kiedy to dominują zaburzenia związane z odpowiedzią immunologiczną, a replikacja wirusa zaczyna zanikać. Wdrożenie leczenia immunosupresyjnego w czasie, kiedy zachodzi intensywna replikacja wirusa (czyli w pierwszych dniach choroby) może powodować nasilenie replikacji i pogorszenie rokowania. Stąd też zapis w wytycznych </w:t>
      </w:r>
      <w:proofErr w:type="spellStart"/>
      <w:r w:rsidRPr="00993BED">
        <w:rPr>
          <w:rFonts w:ascii="Verdana" w:eastAsia="Times New Roman" w:hAnsi="Verdana" w:cs="Times New Roman"/>
          <w:color w:val="333333"/>
          <w:sz w:val="18"/>
          <w:szCs w:val="18"/>
          <w:lang w:eastAsia="pl-PL"/>
        </w:rPr>
        <w:t>PTEiLChZ</w:t>
      </w:r>
      <w:proofErr w:type="spellEnd"/>
      <w:r w:rsidRPr="00993BED">
        <w:rPr>
          <w:rFonts w:ascii="Verdana" w:eastAsia="Times New Roman" w:hAnsi="Verdana" w:cs="Times New Roman"/>
          <w:color w:val="333333"/>
          <w:sz w:val="18"/>
          <w:szCs w:val="18"/>
          <w:lang w:eastAsia="pl-PL"/>
        </w:rPr>
        <w:t xml:space="preserve"> o jednoczesnym podawaniu </w:t>
      </w:r>
      <w:proofErr w:type="spellStart"/>
      <w:r w:rsidRPr="00993BED">
        <w:rPr>
          <w:rFonts w:ascii="Verdana" w:eastAsia="Times New Roman" w:hAnsi="Verdana" w:cs="Times New Roman"/>
          <w:color w:val="333333"/>
          <w:sz w:val="18"/>
          <w:szCs w:val="18"/>
          <w:lang w:eastAsia="pl-PL"/>
        </w:rPr>
        <w:t>wirostatyku</w:t>
      </w:r>
      <w:proofErr w:type="spellEnd"/>
      <w:r w:rsidRPr="00993BED">
        <w:rPr>
          <w:rFonts w:ascii="Verdana" w:eastAsia="Times New Roman" w:hAnsi="Verdana" w:cs="Times New Roman"/>
          <w:color w:val="333333"/>
          <w:sz w:val="18"/>
          <w:szCs w:val="18"/>
          <w:lang w:eastAsia="pl-PL"/>
        </w:rPr>
        <w:t xml:space="preserve"> (aktualnie jedynym takim lekiem o udokumentowanej skuteczności jest </w:t>
      </w:r>
      <w:proofErr w:type="spellStart"/>
      <w:r w:rsidRPr="00993BED">
        <w:rPr>
          <w:rFonts w:ascii="Verdana" w:eastAsia="Times New Roman" w:hAnsi="Verdana" w:cs="Times New Roman"/>
          <w:color w:val="333333"/>
          <w:sz w:val="18"/>
          <w:szCs w:val="18"/>
          <w:lang w:eastAsia="pl-PL"/>
        </w:rPr>
        <w:t>remdesiwir</w:t>
      </w:r>
      <w:proofErr w:type="spellEnd"/>
      <w:r w:rsidRPr="00993BED">
        <w:rPr>
          <w:rFonts w:ascii="Verdana" w:eastAsia="Times New Roman" w:hAnsi="Verdana" w:cs="Times New Roman"/>
          <w:color w:val="333333"/>
          <w:sz w:val="18"/>
          <w:szCs w:val="18"/>
          <w:lang w:eastAsia="pl-PL"/>
        </w:rPr>
        <w:t xml:space="preserve">, ale jego dostępność jest bardzo ograniczona). Choć jak dotąd nie pojawiły się dane z badań oceniających skuteczność skojarzonej terapii </w:t>
      </w:r>
      <w:proofErr w:type="spellStart"/>
      <w:r w:rsidRPr="00993BED">
        <w:rPr>
          <w:rFonts w:ascii="Verdana" w:eastAsia="Times New Roman" w:hAnsi="Verdana" w:cs="Times New Roman"/>
          <w:color w:val="333333"/>
          <w:sz w:val="18"/>
          <w:szCs w:val="18"/>
          <w:lang w:eastAsia="pl-PL"/>
        </w:rPr>
        <w:t>remdesiwirem</w:t>
      </w:r>
      <w:proofErr w:type="spellEnd"/>
      <w:r w:rsidRPr="00993BED">
        <w:rPr>
          <w:rFonts w:ascii="Verdana" w:eastAsia="Times New Roman" w:hAnsi="Verdana" w:cs="Times New Roman"/>
          <w:color w:val="333333"/>
          <w:sz w:val="18"/>
          <w:szCs w:val="18"/>
          <w:lang w:eastAsia="pl-PL"/>
        </w:rPr>
        <w:t xml:space="preserve"> i </w:t>
      </w:r>
      <w:proofErr w:type="spellStart"/>
      <w:r w:rsidRPr="00993BED">
        <w:rPr>
          <w:rFonts w:ascii="Verdana" w:eastAsia="Times New Roman" w:hAnsi="Verdana" w:cs="Times New Roman"/>
          <w:color w:val="333333"/>
          <w:sz w:val="18"/>
          <w:szCs w:val="18"/>
          <w:lang w:eastAsia="pl-PL"/>
        </w:rPr>
        <w:t>deksametazonem</w:t>
      </w:r>
      <w:proofErr w:type="spellEnd"/>
      <w:r w:rsidRPr="00993BED">
        <w:rPr>
          <w:rFonts w:ascii="Verdana" w:eastAsia="Times New Roman" w:hAnsi="Verdana" w:cs="Times New Roman"/>
          <w:color w:val="333333"/>
          <w:sz w:val="18"/>
          <w:szCs w:val="18"/>
          <w:lang w:eastAsia="pl-PL"/>
        </w:rPr>
        <w:t xml:space="preserve">, autorzy wytycznych NIH – podobnie jak eksperci </w:t>
      </w:r>
      <w:proofErr w:type="spellStart"/>
      <w:r w:rsidRPr="00993BED">
        <w:rPr>
          <w:rFonts w:ascii="Verdana" w:eastAsia="Times New Roman" w:hAnsi="Verdana" w:cs="Times New Roman"/>
          <w:color w:val="333333"/>
          <w:sz w:val="18"/>
          <w:szCs w:val="18"/>
          <w:lang w:eastAsia="pl-PL"/>
        </w:rPr>
        <w:t>PTEiLChZ</w:t>
      </w:r>
      <w:proofErr w:type="spellEnd"/>
      <w:r w:rsidRPr="00993BED">
        <w:rPr>
          <w:rFonts w:ascii="Verdana" w:eastAsia="Times New Roman" w:hAnsi="Verdana" w:cs="Times New Roman"/>
          <w:color w:val="333333"/>
          <w:sz w:val="18"/>
          <w:szCs w:val="18"/>
          <w:lang w:eastAsia="pl-PL"/>
        </w:rPr>
        <w:t xml:space="preserve"> – również rozważają łączenie leku przeciwwirusowego z lekiem o działaniu przeciwzapalnym, opierając się tylko na rozważaniach patofizjologicznych (jednoczesne leczenie zakażenia wirusowego i tłumienie potencjalnie niebezpiecznej odpowiedzi zapalnej). Zwracają jednocześnie uwagę na to, że niektórzy eksperci proponują rozpoczęcie leczenia </w:t>
      </w:r>
      <w:proofErr w:type="spellStart"/>
      <w:r w:rsidRPr="00993BED">
        <w:rPr>
          <w:rFonts w:ascii="Verdana" w:eastAsia="Times New Roman" w:hAnsi="Verdana" w:cs="Times New Roman"/>
          <w:color w:val="333333"/>
          <w:sz w:val="18"/>
          <w:szCs w:val="18"/>
          <w:lang w:eastAsia="pl-PL"/>
        </w:rPr>
        <w:t>remdesiwirem</w:t>
      </w:r>
      <w:proofErr w:type="spellEnd"/>
      <w:r w:rsidRPr="00993BED">
        <w:rPr>
          <w:rFonts w:ascii="Verdana" w:eastAsia="Times New Roman" w:hAnsi="Verdana" w:cs="Times New Roman"/>
          <w:color w:val="333333"/>
          <w:sz w:val="18"/>
          <w:szCs w:val="18"/>
          <w:lang w:eastAsia="pl-PL"/>
        </w:rPr>
        <w:t xml:space="preserve"> w </w:t>
      </w:r>
      <w:proofErr w:type="spellStart"/>
      <w:r w:rsidRPr="00993BED">
        <w:rPr>
          <w:rFonts w:ascii="Verdana" w:eastAsia="Times New Roman" w:hAnsi="Verdana" w:cs="Times New Roman"/>
          <w:color w:val="333333"/>
          <w:sz w:val="18"/>
          <w:szCs w:val="18"/>
          <w:lang w:eastAsia="pl-PL"/>
        </w:rPr>
        <w:t>monoterapii</w:t>
      </w:r>
      <w:proofErr w:type="spellEnd"/>
      <w:r w:rsidRPr="00993BED">
        <w:rPr>
          <w:rFonts w:ascii="Verdana" w:eastAsia="Times New Roman" w:hAnsi="Verdana" w:cs="Times New Roman"/>
          <w:color w:val="333333"/>
          <w:sz w:val="18"/>
          <w:szCs w:val="18"/>
          <w:lang w:eastAsia="pl-PL"/>
        </w:rPr>
        <w:t xml:space="preserve"> i dołączanie </w:t>
      </w:r>
      <w:proofErr w:type="spellStart"/>
      <w:r w:rsidRPr="00993BED">
        <w:rPr>
          <w:rFonts w:ascii="Verdana" w:eastAsia="Times New Roman" w:hAnsi="Verdana" w:cs="Times New Roman"/>
          <w:color w:val="333333"/>
          <w:sz w:val="18"/>
          <w:szCs w:val="18"/>
          <w:lang w:eastAsia="pl-PL"/>
        </w:rPr>
        <w:t>deksametazonu</w:t>
      </w:r>
      <w:proofErr w:type="spellEnd"/>
      <w:r w:rsidRPr="00993BED">
        <w:rPr>
          <w:rFonts w:ascii="Verdana" w:eastAsia="Times New Roman" w:hAnsi="Verdana" w:cs="Times New Roman"/>
          <w:color w:val="333333"/>
          <w:sz w:val="18"/>
          <w:szCs w:val="18"/>
          <w:lang w:eastAsia="pl-PL"/>
        </w:rPr>
        <w:t xml:space="preserve"> w razie wystąpienia cech nadmiernie nasilonego stanu zapalnego albo stosowanie leczenia skojarzonego u chorych obciążonych czynnikami ryzyka ciężkiego przebiegu COVID-19. Na podstawie aktualnie dostępnych wiarygodnych danych naukowych autorzy niniejszego komentarza </w:t>
      </w:r>
      <w:r w:rsidRPr="00993BED">
        <w:rPr>
          <w:rFonts w:ascii="Verdana" w:eastAsia="Times New Roman" w:hAnsi="Verdana" w:cs="Times New Roman"/>
          <w:color w:val="333333"/>
          <w:sz w:val="18"/>
          <w:szCs w:val="18"/>
          <w:lang w:eastAsia="pl-PL"/>
        </w:rPr>
        <w:lastRenderedPageBreak/>
        <w:t xml:space="preserve">uważają, że jeśli stan pacjenta się pogarsza i wymaga on tlenoterapii, to nie należy zwlekać z podaniem </w:t>
      </w:r>
      <w:proofErr w:type="spellStart"/>
      <w:r w:rsidRPr="00993BED">
        <w:rPr>
          <w:rFonts w:ascii="Verdana" w:eastAsia="Times New Roman" w:hAnsi="Verdana" w:cs="Times New Roman"/>
          <w:color w:val="333333"/>
          <w:sz w:val="18"/>
          <w:szCs w:val="18"/>
          <w:lang w:eastAsia="pl-PL"/>
        </w:rPr>
        <w:t>deksametazonu</w:t>
      </w:r>
      <w:proofErr w:type="spellEnd"/>
      <w:r w:rsidRPr="00993BED">
        <w:rPr>
          <w:rFonts w:ascii="Verdana" w:eastAsia="Times New Roman" w:hAnsi="Verdana" w:cs="Times New Roman"/>
          <w:color w:val="333333"/>
          <w:sz w:val="18"/>
          <w:szCs w:val="18"/>
          <w:lang w:eastAsia="pl-PL"/>
        </w:rPr>
        <w:t xml:space="preserve">, niezależnie od tego, czy można podać </w:t>
      </w:r>
      <w:proofErr w:type="spellStart"/>
      <w:r w:rsidRPr="00993BED">
        <w:rPr>
          <w:rFonts w:ascii="Verdana" w:eastAsia="Times New Roman" w:hAnsi="Verdana" w:cs="Times New Roman"/>
          <w:color w:val="333333"/>
          <w:sz w:val="18"/>
          <w:szCs w:val="18"/>
          <w:lang w:eastAsia="pl-PL"/>
        </w:rPr>
        <w:t>remdesiwir</w:t>
      </w:r>
      <w:proofErr w:type="spellEnd"/>
      <w:r w:rsidRPr="00993BED">
        <w:rPr>
          <w:rFonts w:ascii="Verdana" w:eastAsia="Times New Roman" w:hAnsi="Verdana" w:cs="Times New Roman"/>
          <w:color w:val="333333"/>
          <w:sz w:val="18"/>
          <w:szCs w:val="18"/>
          <w:lang w:eastAsia="pl-PL"/>
        </w:rPr>
        <w:t xml:space="preserve">. W odróżnieniu od </w:t>
      </w:r>
      <w:proofErr w:type="spellStart"/>
      <w:r w:rsidRPr="00993BED">
        <w:rPr>
          <w:rFonts w:ascii="Verdana" w:eastAsia="Times New Roman" w:hAnsi="Verdana" w:cs="Times New Roman"/>
          <w:color w:val="333333"/>
          <w:sz w:val="18"/>
          <w:szCs w:val="18"/>
          <w:lang w:eastAsia="pl-PL"/>
        </w:rPr>
        <w:t>remdesiwiru</w:t>
      </w:r>
      <w:proofErr w:type="spellEnd"/>
      <w:r w:rsidRPr="00993BED">
        <w:rPr>
          <w:rFonts w:ascii="Verdana" w:eastAsia="Times New Roman" w:hAnsi="Verdana" w:cs="Times New Roman"/>
          <w:color w:val="333333"/>
          <w:sz w:val="18"/>
          <w:szCs w:val="18"/>
          <w:lang w:eastAsia="pl-PL"/>
        </w:rPr>
        <w:t xml:space="preserve"> </w:t>
      </w:r>
      <w:proofErr w:type="spellStart"/>
      <w:r w:rsidRPr="00993BED">
        <w:rPr>
          <w:rFonts w:ascii="Verdana" w:eastAsia="Times New Roman" w:hAnsi="Verdana" w:cs="Times New Roman"/>
          <w:color w:val="333333"/>
          <w:sz w:val="18"/>
          <w:szCs w:val="18"/>
          <w:lang w:eastAsia="pl-PL"/>
        </w:rPr>
        <w:t>deksametazon</w:t>
      </w:r>
      <w:proofErr w:type="spellEnd"/>
      <w:r w:rsidRPr="00993BED">
        <w:rPr>
          <w:rFonts w:ascii="Verdana" w:eastAsia="Times New Roman" w:hAnsi="Verdana" w:cs="Times New Roman"/>
          <w:color w:val="333333"/>
          <w:sz w:val="18"/>
          <w:szCs w:val="18"/>
          <w:lang w:eastAsia="pl-PL"/>
        </w:rPr>
        <w:t xml:space="preserve"> jest lekiem tanim i powszechnie dostępnym.</w:t>
      </w:r>
    </w:p>
    <w:p w:rsidR="00553C9C" w:rsidRDefault="00553C9C" w:rsidP="00553C9C">
      <w:pPr>
        <w:pStyle w:val="Nagwek3"/>
        <w:shd w:val="clear" w:color="auto" w:fill="FFFFFF"/>
        <w:rPr>
          <w:rFonts w:ascii="Verdana" w:hAnsi="Verdana"/>
          <w:b w:val="0"/>
          <w:bCs w:val="0"/>
          <w:color w:val="000000"/>
        </w:rPr>
      </w:pPr>
      <w:r>
        <w:rPr>
          <w:rFonts w:ascii="Verdana" w:hAnsi="Verdana"/>
          <w:b w:val="0"/>
          <w:bCs w:val="0"/>
          <w:color w:val="000000"/>
        </w:rPr>
        <w:t xml:space="preserve">2. Czy można stosować leczenie </w:t>
      </w:r>
      <w:proofErr w:type="spellStart"/>
      <w:r>
        <w:rPr>
          <w:rFonts w:ascii="Verdana" w:hAnsi="Verdana"/>
          <w:b w:val="0"/>
          <w:bCs w:val="0"/>
          <w:color w:val="000000"/>
        </w:rPr>
        <w:t>deksametazonem</w:t>
      </w:r>
      <w:proofErr w:type="spellEnd"/>
      <w:r>
        <w:rPr>
          <w:rFonts w:ascii="Verdana" w:hAnsi="Verdana"/>
          <w:b w:val="0"/>
          <w:bCs w:val="0"/>
          <w:color w:val="000000"/>
        </w:rPr>
        <w:t xml:space="preserve"> w razie trudności z przyjęciem pacjenta do szpitala z powodu braku miejsc?</w:t>
      </w:r>
    </w:p>
    <w:p w:rsidR="00553C9C" w:rsidRDefault="00553C9C" w:rsidP="00553C9C">
      <w:pPr>
        <w:pStyle w:val="NormalnyWeb"/>
        <w:shd w:val="clear" w:color="auto" w:fill="FFFFFF"/>
        <w:rPr>
          <w:rFonts w:ascii="Verdana" w:hAnsi="Verdana"/>
          <w:color w:val="333333"/>
          <w:sz w:val="21"/>
          <w:szCs w:val="21"/>
        </w:rPr>
      </w:pPr>
      <w:r>
        <w:rPr>
          <w:rFonts w:ascii="Verdana" w:hAnsi="Verdana"/>
          <w:color w:val="333333"/>
          <w:sz w:val="21"/>
          <w:szCs w:val="21"/>
        </w:rPr>
        <w:t xml:space="preserve">Każdy pacjent, u którego pojawiają się cechy kliniczne i laboratoryjne wskazujące na rozwijającą się niewydolność oddechową, powinien być leczony w warunkach szpitalnych. Wymóg leczenia szpitalnego wynika z konieczności zapewniania choremu: 1) stałego monitorowania umożliwiającego natychmiastową reakcję personelu medycznego; 2) możliwości wykonania badań laboratoryjnych w każdej chwili oraz w zakresie szerszym w porównaniu z diagnostyką ambulatoryjną, a także możliwości wykonania badań obrazowych; 3) dostępu do tlenu i tlenoterapii; 4) możliwości leczenia dożylnego; 5) dostępu do leków przeznaczonych do leczenia wewnątrzszpitalnego (np. </w:t>
      </w:r>
      <w:proofErr w:type="spellStart"/>
      <w:r>
        <w:rPr>
          <w:rFonts w:ascii="Verdana" w:hAnsi="Verdana"/>
          <w:color w:val="333333"/>
          <w:sz w:val="21"/>
          <w:szCs w:val="21"/>
        </w:rPr>
        <w:t>remdesiwiru</w:t>
      </w:r>
      <w:proofErr w:type="spellEnd"/>
      <w:r>
        <w:rPr>
          <w:rFonts w:ascii="Verdana" w:hAnsi="Verdana"/>
          <w:color w:val="333333"/>
          <w:sz w:val="21"/>
          <w:szCs w:val="21"/>
        </w:rPr>
        <w:t>).</w:t>
      </w:r>
    </w:p>
    <w:p w:rsidR="00553C9C" w:rsidRDefault="00553C9C" w:rsidP="00553C9C">
      <w:pPr>
        <w:pStyle w:val="NormalnyWeb"/>
        <w:shd w:val="clear" w:color="auto" w:fill="FFFFFF"/>
        <w:rPr>
          <w:rFonts w:ascii="Verdana" w:hAnsi="Verdana"/>
          <w:color w:val="333333"/>
          <w:sz w:val="21"/>
          <w:szCs w:val="21"/>
        </w:rPr>
      </w:pPr>
      <w:r>
        <w:rPr>
          <w:rFonts w:ascii="Verdana" w:hAnsi="Verdana"/>
          <w:color w:val="333333"/>
          <w:sz w:val="21"/>
          <w:szCs w:val="21"/>
        </w:rPr>
        <w:t xml:space="preserve">Obecnie w związku z narastaniem fali </w:t>
      </w:r>
      <w:proofErr w:type="spellStart"/>
      <w:r>
        <w:rPr>
          <w:rFonts w:ascii="Verdana" w:hAnsi="Verdana"/>
          <w:color w:val="333333"/>
          <w:sz w:val="21"/>
          <w:szCs w:val="21"/>
        </w:rPr>
        <w:t>zachorowań</w:t>
      </w:r>
      <w:proofErr w:type="spellEnd"/>
      <w:r>
        <w:rPr>
          <w:rFonts w:ascii="Verdana" w:hAnsi="Verdana"/>
          <w:color w:val="333333"/>
          <w:sz w:val="21"/>
          <w:szCs w:val="21"/>
        </w:rPr>
        <w:t xml:space="preserve"> coraz częściej pojawiają się trudności z natychmiastowym dostępem do szpitala. Każdy pacjent, który ma objawy rozwijającej się niewydolności oddechowej w przebiegu COVID-19, powinien być leczony w warunkach szpitalnych, ale brak wolnej karetki lub miejsca w szpitalu nie powinien opóźniać rozpoczęcia skutecznego leczenia. Naszym zdaniem – zgodnie ze stanowiskiem WHO – zalecenia dotyczące stosowania </w:t>
      </w:r>
      <w:proofErr w:type="spellStart"/>
      <w:r>
        <w:rPr>
          <w:rFonts w:ascii="Verdana" w:hAnsi="Verdana"/>
          <w:color w:val="333333"/>
          <w:sz w:val="21"/>
          <w:szCs w:val="21"/>
        </w:rPr>
        <w:t>deksametazonu</w:t>
      </w:r>
      <w:proofErr w:type="spellEnd"/>
      <w:r>
        <w:rPr>
          <w:rFonts w:ascii="Verdana" w:hAnsi="Verdana"/>
          <w:color w:val="333333"/>
          <w:sz w:val="21"/>
          <w:szCs w:val="21"/>
        </w:rPr>
        <w:t xml:space="preserve"> lub innych GKS powinno się odnosić także do chorych z ciężkim przebiegiem COVID-19, którzy nie mogą zostać przyjęci do szpitala lub otrzymać tlenoterapii z powodu ograniczonych zasobów opieki zdrowotnej.</w:t>
      </w:r>
    </w:p>
    <w:p w:rsidR="00553C9C" w:rsidRDefault="00553C9C" w:rsidP="00553C9C">
      <w:pPr>
        <w:pStyle w:val="NormalnyWeb"/>
        <w:shd w:val="clear" w:color="auto" w:fill="FFFFFF"/>
        <w:rPr>
          <w:rFonts w:ascii="Verdana" w:hAnsi="Verdana"/>
          <w:color w:val="333333"/>
          <w:sz w:val="21"/>
          <w:szCs w:val="21"/>
        </w:rPr>
      </w:pPr>
      <w:r>
        <w:rPr>
          <w:rFonts w:ascii="Verdana" w:hAnsi="Verdana"/>
          <w:color w:val="333333"/>
          <w:sz w:val="21"/>
          <w:szCs w:val="21"/>
        </w:rPr>
        <w:t xml:space="preserve">Uważamy, że u pacjentów, których stan kliniczny się gwałtownie pogarsza, ale pozostają oni pod nadzorem medycznym, można rozważyć rozpoczęcie leczenia </w:t>
      </w:r>
      <w:proofErr w:type="spellStart"/>
      <w:r>
        <w:rPr>
          <w:rFonts w:ascii="Verdana" w:hAnsi="Verdana"/>
          <w:color w:val="333333"/>
          <w:sz w:val="21"/>
          <w:szCs w:val="21"/>
        </w:rPr>
        <w:t>deksametazonem</w:t>
      </w:r>
      <w:proofErr w:type="spellEnd"/>
      <w:r>
        <w:rPr>
          <w:rFonts w:ascii="Verdana" w:hAnsi="Verdana"/>
          <w:color w:val="333333"/>
          <w:sz w:val="21"/>
          <w:szCs w:val="21"/>
        </w:rPr>
        <w:t xml:space="preserve"> i tlenem (w wybranych przypadkach także heparyną drobnocząsteczkową – p. pyt. 6) już na etapie przedszpitalnym, jeśli wiadomo, że przyjęcie do szpitala będzie znacznie opóźnione (o kilkanaście czy kilkadziesiąt godzin). Oczywiście dotyczy to tylko chorych spełniających kryteria kwalifikujące do takiego leczenia i bez przeciwwskazań. Jeśli natomiast nie ma problemu z dostępem do szpitala, leczenie należy rozpocząć dopiero po pełnej ocenie stanu chorego w warunkach szpitalnych.</w:t>
      </w:r>
    </w:p>
    <w:p w:rsidR="00553C9C" w:rsidRDefault="00553C9C" w:rsidP="00553C9C">
      <w:pPr>
        <w:pStyle w:val="Nagwek3"/>
        <w:shd w:val="clear" w:color="auto" w:fill="FFFFFF"/>
        <w:rPr>
          <w:rFonts w:ascii="Verdana" w:hAnsi="Verdana"/>
          <w:b w:val="0"/>
          <w:bCs w:val="0"/>
          <w:color w:val="000000"/>
        </w:rPr>
      </w:pPr>
      <w:r>
        <w:rPr>
          <w:rFonts w:ascii="Verdana" w:hAnsi="Verdana"/>
          <w:b w:val="0"/>
          <w:bCs w:val="0"/>
          <w:color w:val="000000"/>
        </w:rPr>
        <w:t xml:space="preserve">3. Od jakiej dawki </w:t>
      </w:r>
      <w:proofErr w:type="spellStart"/>
      <w:r>
        <w:rPr>
          <w:rFonts w:ascii="Verdana" w:hAnsi="Verdana"/>
          <w:b w:val="0"/>
          <w:bCs w:val="0"/>
          <w:color w:val="000000"/>
        </w:rPr>
        <w:t>deksametazonu</w:t>
      </w:r>
      <w:proofErr w:type="spellEnd"/>
      <w:r>
        <w:rPr>
          <w:rFonts w:ascii="Verdana" w:hAnsi="Verdana"/>
          <w:b w:val="0"/>
          <w:bCs w:val="0"/>
          <w:color w:val="000000"/>
        </w:rPr>
        <w:t xml:space="preserve"> rozpocząć leczenie? Czy </w:t>
      </w:r>
      <w:proofErr w:type="spellStart"/>
      <w:r>
        <w:rPr>
          <w:rFonts w:ascii="Verdana" w:hAnsi="Verdana"/>
          <w:b w:val="0"/>
          <w:bCs w:val="0"/>
          <w:color w:val="000000"/>
        </w:rPr>
        <w:t>deksametazon</w:t>
      </w:r>
      <w:proofErr w:type="spellEnd"/>
      <w:r>
        <w:rPr>
          <w:rFonts w:ascii="Verdana" w:hAnsi="Verdana"/>
          <w:b w:val="0"/>
          <w:bCs w:val="0"/>
          <w:color w:val="000000"/>
        </w:rPr>
        <w:t xml:space="preserve"> można zastąpić innym GKS lub lekiem immunomodulującym?</w:t>
      </w:r>
    </w:p>
    <w:p w:rsidR="00553C9C" w:rsidRDefault="00553C9C" w:rsidP="00553C9C">
      <w:pPr>
        <w:pStyle w:val="NormalnyWeb"/>
        <w:shd w:val="clear" w:color="auto" w:fill="FFFFFF"/>
        <w:rPr>
          <w:rFonts w:ascii="Verdana" w:hAnsi="Verdana"/>
          <w:color w:val="333333"/>
          <w:sz w:val="21"/>
          <w:szCs w:val="21"/>
        </w:rPr>
      </w:pPr>
      <w:r>
        <w:rPr>
          <w:rFonts w:ascii="Verdana" w:hAnsi="Verdana"/>
          <w:color w:val="333333"/>
          <w:sz w:val="21"/>
          <w:szCs w:val="21"/>
        </w:rPr>
        <w:t xml:space="preserve">W badaniu RECOVERY stosowano </w:t>
      </w:r>
      <w:proofErr w:type="spellStart"/>
      <w:r>
        <w:rPr>
          <w:rFonts w:ascii="Verdana" w:hAnsi="Verdana"/>
          <w:color w:val="333333"/>
          <w:sz w:val="21"/>
          <w:szCs w:val="21"/>
        </w:rPr>
        <w:t>deksametazon</w:t>
      </w:r>
      <w:proofErr w:type="spellEnd"/>
      <w:r>
        <w:rPr>
          <w:rFonts w:ascii="Verdana" w:hAnsi="Verdana"/>
          <w:color w:val="333333"/>
          <w:sz w:val="21"/>
          <w:szCs w:val="21"/>
        </w:rPr>
        <w:t xml:space="preserve"> w dawce 6 mg co 24 godziny doustnie lub dożylnie przez maksymalnie 10 dni. Takie dawkowanie przyjęli autorzy wytycznych WHO, NIH i IDSA (NIH i IDSA zalecają stosowanie </w:t>
      </w:r>
      <w:proofErr w:type="spellStart"/>
      <w:r>
        <w:rPr>
          <w:rFonts w:ascii="Verdana" w:hAnsi="Verdana"/>
          <w:color w:val="333333"/>
          <w:sz w:val="21"/>
          <w:szCs w:val="21"/>
        </w:rPr>
        <w:t>deksametazonu</w:t>
      </w:r>
      <w:proofErr w:type="spellEnd"/>
      <w:r>
        <w:rPr>
          <w:rFonts w:ascii="Verdana" w:hAnsi="Verdana"/>
          <w:color w:val="333333"/>
          <w:sz w:val="21"/>
          <w:szCs w:val="21"/>
        </w:rPr>
        <w:t xml:space="preserve"> do 10 dni lub krócej, jeśli pacjent zostaje wcześniej wypisany ze szpitala), wychodząc z założenia, że korzyści z leczenia </w:t>
      </w:r>
      <w:proofErr w:type="spellStart"/>
      <w:r>
        <w:rPr>
          <w:rFonts w:ascii="Verdana" w:hAnsi="Verdana"/>
          <w:color w:val="333333"/>
          <w:sz w:val="21"/>
          <w:szCs w:val="21"/>
        </w:rPr>
        <w:t>deksametazonem</w:t>
      </w:r>
      <w:proofErr w:type="spellEnd"/>
      <w:r>
        <w:rPr>
          <w:rFonts w:ascii="Verdana" w:hAnsi="Verdana"/>
          <w:color w:val="333333"/>
          <w:sz w:val="21"/>
          <w:szCs w:val="21"/>
        </w:rPr>
        <w:t xml:space="preserve"> u chorych na COVID-19 udowodniono właśnie dla takiego schematu. Wytyczne </w:t>
      </w:r>
      <w:proofErr w:type="spellStart"/>
      <w:r>
        <w:rPr>
          <w:rFonts w:ascii="Verdana" w:hAnsi="Verdana"/>
          <w:color w:val="333333"/>
          <w:sz w:val="21"/>
          <w:szCs w:val="21"/>
        </w:rPr>
        <w:t>PTEiLChZ</w:t>
      </w:r>
      <w:proofErr w:type="spellEnd"/>
      <w:r>
        <w:rPr>
          <w:rFonts w:ascii="Verdana" w:hAnsi="Verdana"/>
          <w:color w:val="333333"/>
          <w:sz w:val="21"/>
          <w:szCs w:val="21"/>
        </w:rPr>
        <w:t xml:space="preserve"> różnią się w tym zakresie. Polscy autorzy zalecają </w:t>
      </w:r>
      <w:proofErr w:type="spellStart"/>
      <w:r>
        <w:rPr>
          <w:rFonts w:ascii="Verdana" w:hAnsi="Verdana"/>
          <w:color w:val="333333"/>
          <w:sz w:val="21"/>
          <w:szCs w:val="21"/>
        </w:rPr>
        <w:t>kortykoterapię</w:t>
      </w:r>
      <w:proofErr w:type="spellEnd"/>
      <w:r>
        <w:rPr>
          <w:rFonts w:ascii="Verdana" w:hAnsi="Verdana"/>
          <w:color w:val="333333"/>
          <w:sz w:val="21"/>
          <w:szCs w:val="21"/>
        </w:rPr>
        <w:t xml:space="preserve">, opierając się na wniosku z badania RECOVERY o skuteczności </w:t>
      </w:r>
      <w:proofErr w:type="spellStart"/>
      <w:r>
        <w:rPr>
          <w:rFonts w:ascii="Verdana" w:hAnsi="Verdana"/>
          <w:color w:val="333333"/>
          <w:sz w:val="21"/>
          <w:szCs w:val="21"/>
        </w:rPr>
        <w:t>deksametazonu</w:t>
      </w:r>
      <w:proofErr w:type="spellEnd"/>
      <w:r>
        <w:rPr>
          <w:rFonts w:ascii="Verdana" w:hAnsi="Verdana"/>
          <w:color w:val="333333"/>
          <w:sz w:val="21"/>
          <w:szCs w:val="21"/>
        </w:rPr>
        <w:t xml:space="preserve"> w COVID-19, ale jednocześnie proponują, aby dawkowanie i czas stosowania GKS uzależniać od stadium choroby. Obecnie nie wiadomo jednak, czy większa dawka </w:t>
      </w:r>
      <w:proofErr w:type="spellStart"/>
      <w:r>
        <w:rPr>
          <w:rFonts w:ascii="Verdana" w:hAnsi="Verdana"/>
          <w:color w:val="333333"/>
          <w:sz w:val="21"/>
          <w:szCs w:val="21"/>
        </w:rPr>
        <w:t>deksametazonu</w:t>
      </w:r>
      <w:proofErr w:type="spellEnd"/>
      <w:r>
        <w:rPr>
          <w:rFonts w:ascii="Verdana" w:hAnsi="Verdana"/>
          <w:color w:val="333333"/>
          <w:sz w:val="21"/>
          <w:szCs w:val="21"/>
        </w:rPr>
        <w:t xml:space="preserve"> jest równie, bardziej czy może mniej skuteczna od dawki stosowanej w badaniu RECOVERY, szczególnie </w:t>
      </w:r>
      <w:r>
        <w:rPr>
          <w:rFonts w:ascii="Verdana" w:hAnsi="Verdana"/>
          <w:color w:val="333333"/>
          <w:sz w:val="21"/>
          <w:szCs w:val="21"/>
        </w:rPr>
        <w:lastRenderedPageBreak/>
        <w:t xml:space="preserve">u pacjentów leczonych na OIT. Trwają badania kliniczne mające dać odpowiedź na pytanie o optymalne dawkowanie </w:t>
      </w:r>
      <w:proofErr w:type="spellStart"/>
      <w:r>
        <w:rPr>
          <w:rFonts w:ascii="Verdana" w:hAnsi="Verdana"/>
          <w:color w:val="333333"/>
          <w:sz w:val="21"/>
          <w:szCs w:val="21"/>
        </w:rPr>
        <w:t>deksametazonu</w:t>
      </w:r>
      <w:proofErr w:type="spellEnd"/>
      <w:r>
        <w:rPr>
          <w:rFonts w:ascii="Verdana" w:hAnsi="Verdana"/>
          <w:color w:val="333333"/>
          <w:sz w:val="21"/>
          <w:szCs w:val="21"/>
        </w:rPr>
        <w:t xml:space="preserve"> i innych GKS w COVID-19.</w:t>
      </w:r>
    </w:p>
    <w:p w:rsidR="00553C9C" w:rsidRDefault="00553C9C" w:rsidP="00553C9C">
      <w:pPr>
        <w:pStyle w:val="NormalnyWeb"/>
        <w:shd w:val="clear" w:color="auto" w:fill="FFFFFF"/>
        <w:rPr>
          <w:rFonts w:ascii="Verdana" w:hAnsi="Verdana"/>
          <w:color w:val="333333"/>
          <w:sz w:val="21"/>
          <w:szCs w:val="21"/>
        </w:rPr>
      </w:pPr>
      <w:r>
        <w:rPr>
          <w:rFonts w:ascii="Verdana" w:hAnsi="Verdana"/>
          <w:color w:val="333333"/>
          <w:sz w:val="21"/>
          <w:szCs w:val="21"/>
        </w:rPr>
        <w:t xml:space="preserve">Eksperci </w:t>
      </w:r>
      <w:proofErr w:type="spellStart"/>
      <w:r>
        <w:rPr>
          <w:rFonts w:ascii="Verdana" w:hAnsi="Verdana"/>
          <w:color w:val="333333"/>
          <w:sz w:val="21"/>
          <w:szCs w:val="21"/>
        </w:rPr>
        <w:t>PTEiLChZ</w:t>
      </w:r>
      <w:proofErr w:type="spellEnd"/>
      <w:r>
        <w:rPr>
          <w:rFonts w:ascii="Verdana" w:hAnsi="Verdana"/>
          <w:color w:val="333333"/>
          <w:sz w:val="21"/>
          <w:szCs w:val="21"/>
        </w:rPr>
        <w:t xml:space="preserve"> kładą też większy nacisk na leczenie </w:t>
      </w:r>
      <w:proofErr w:type="spellStart"/>
      <w:r>
        <w:rPr>
          <w:rFonts w:ascii="Verdana" w:hAnsi="Verdana"/>
          <w:color w:val="333333"/>
          <w:sz w:val="21"/>
          <w:szCs w:val="21"/>
        </w:rPr>
        <w:t>tocilizumabem</w:t>
      </w:r>
      <w:proofErr w:type="spellEnd"/>
      <w:r>
        <w:rPr>
          <w:rFonts w:ascii="Verdana" w:hAnsi="Verdana"/>
          <w:color w:val="333333"/>
          <w:sz w:val="21"/>
          <w:szCs w:val="21"/>
        </w:rPr>
        <w:t xml:space="preserve"> (przeciwciałem monoklonalnym wiążącym się z receptorem dla interleukiny 6 [IL-6]), choć jest to leczenie prowadzone wyłącznie w ramach eksperymentu leczniczego i zgodę na jego zastosowanie musi wydać lokalna komisja bioetyczna. Warto zwrócić uwagę, że wskazane jest posiadanie pewnego doświadczenia w stosowaniu tego leku. Przed rozpoczęciem terapii powinno się oznaczyć stężenie IL-6 w surowicy, ponieważ jeśli jest ono prawidłowe, nie należy podawać </w:t>
      </w:r>
      <w:proofErr w:type="spellStart"/>
      <w:r>
        <w:rPr>
          <w:rFonts w:ascii="Verdana" w:hAnsi="Verdana"/>
          <w:color w:val="333333"/>
          <w:sz w:val="21"/>
          <w:szCs w:val="21"/>
        </w:rPr>
        <w:t>tocilizumabu</w:t>
      </w:r>
      <w:proofErr w:type="spellEnd"/>
      <w:r>
        <w:rPr>
          <w:rFonts w:ascii="Verdana" w:hAnsi="Verdana"/>
          <w:color w:val="333333"/>
          <w:sz w:val="21"/>
          <w:szCs w:val="21"/>
        </w:rPr>
        <w:t xml:space="preserve">. Do skutków niepożądanych należą ciężkie zakażenia (bakteryjne, w tym </w:t>
      </w:r>
      <w:proofErr w:type="spellStart"/>
      <w:r>
        <w:rPr>
          <w:rFonts w:ascii="Verdana" w:hAnsi="Verdana"/>
          <w:color w:val="333333"/>
          <w:sz w:val="21"/>
          <w:szCs w:val="21"/>
        </w:rPr>
        <w:t>mykobakteriami</w:t>
      </w:r>
      <w:proofErr w:type="spellEnd"/>
      <w:r>
        <w:rPr>
          <w:rFonts w:ascii="Verdana" w:hAnsi="Verdana"/>
          <w:color w:val="333333"/>
          <w:sz w:val="21"/>
          <w:szCs w:val="21"/>
        </w:rPr>
        <w:t xml:space="preserve">, grzybicze i wirusowe), dlatego należy bardzo starannie kwalifikować pacjentów do leczenia </w:t>
      </w:r>
      <w:proofErr w:type="spellStart"/>
      <w:r>
        <w:rPr>
          <w:rFonts w:ascii="Verdana" w:hAnsi="Verdana"/>
          <w:color w:val="333333"/>
          <w:sz w:val="21"/>
          <w:szCs w:val="21"/>
        </w:rPr>
        <w:t>tocilizumabem</w:t>
      </w:r>
      <w:proofErr w:type="spellEnd"/>
      <w:r>
        <w:rPr>
          <w:rFonts w:ascii="Verdana" w:hAnsi="Verdana"/>
          <w:color w:val="333333"/>
          <w:sz w:val="21"/>
          <w:szCs w:val="21"/>
        </w:rPr>
        <w:t xml:space="preserve">. Czynne zakażenie innym patogenem niż SARS-CoV-2 może być przeciwwskazaniem do zastosowania tego leku. Autorzy wytycznych IDSA zalecają, aby nie stosować rutynowo </w:t>
      </w:r>
      <w:proofErr w:type="spellStart"/>
      <w:r>
        <w:rPr>
          <w:rFonts w:ascii="Verdana" w:hAnsi="Verdana"/>
          <w:color w:val="333333"/>
          <w:sz w:val="21"/>
          <w:szCs w:val="21"/>
        </w:rPr>
        <w:t>tocilizumabu</w:t>
      </w:r>
      <w:proofErr w:type="spellEnd"/>
      <w:r>
        <w:rPr>
          <w:rFonts w:ascii="Verdana" w:hAnsi="Verdana"/>
          <w:color w:val="333333"/>
          <w:sz w:val="21"/>
          <w:szCs w:val="21"/>
        </w:rPr>
        <w:t xml:space="preserve"> u chorych hospitalizowanych, ale jest to zalecenie warunkowe (słabe), oparte na danych niskiej jakości. Podobnie eksperci NIH nie zalecają stosowania tego leku poza badaniami klinicznymi. Jak dotąd nie wykazano jednoznacznie, ale też nie wykluczono korzystnego wpływu leczenia </w:t>
      </w:r>
      <w:proofErr w:type="spellStart"/>
      <w:r>
        <w:rPr>
          <w:rFonts w:ascii="Verdana" w:hAnsi="Verdana"/>
          <w:color w:val="333333"/>
          <w:sz w:val="21"/>
          <w:szCs w:val="21"/>
        </w:rPr>
        <w:t>tocilizumabem</w:t>
      </w:r>
      <w:proofErr w:type="spellEnd"/>
      <w:r>
        <w:rPr>
          <w:rFonts w:ascii="Verdana" w:hAnsi="Verdana"/>
          <w:color w:val="333333"/>
          <w:sz w:val="21"/>
          <w:szCs w:val="21"/>
        </w:rPr>
        <w:t xml:space="preserve"> na śmiertelność 28-dniową; wyniki zakończonych dotąd RCT (COVACTA, EMPACTA) raczej tonują początkowy entuzjazm.</w:t>
      </w:r>
      <w:r>
        <w:rPr>
          <w:rFonts w:ascii="Verdana" w:hAnsi="Verdana"/>
          <w:color w:val="333333"/>
          <w:sz w:val="16"/>
          <w:szCs w:val="16"/>
          <w:vertAlign w:val="superscript"/>
        </w:rPr>
        <w:t>11,12</w:t>
      </w:r>
      <w:r>
        <w:rPr>
          <w:rFonts w:ascii="Verdana" w:hAnsi="Verdana"/>
          <w:color w:val="333333"/>
          <w:sz w:val="21"/>
          <w:szCs w:val="21"/>
        </w:rPr>
        <w:t xml:space="preserve"> Inne badania (m.in. RECOVERY) nadal trwają i na razie </w:t>
      </w:r>
      <w:proofErr w:type="spellStart"/>
      <w:r>
        <w:rPr>
          <w:rFonts w:ascii="Verdana" w:hAnsi="Verdana"/>
          <w:color w:val="333333"/>
          <w:sz w:val="21"/>
          <w:szCs w:val="21"/>
        </w:rPr>
        <w:t>tocilizumab</w:t>
      </w:r>
      <w:proofErr w:type="spellEnd"/>
      <w:r>
        <w:rPr>
          <w:rFonts w:ascii="Verdana" w:hAnsi="Verdana"/>
          <w:color w:val="333333"/>
          <w:sz w:val="21"/>
          <w:szCs w:val="21"/>
        </w:rPr>
        <w:t xml:space="preserve"> stosuje się jedynie w ośrodkach specjalistycznych w ramach eksperymentu medycznego.</w:t>
      </w:r>
    </w:p>
    <w:p w:rsidR="00553C9C" w:rsidRDefault="00553C9C" w:rsidP="00553C9C">
      <w:pPr>
        <w:pStyle w:val="NormalnyWeb"/>
        <w:shd w:val="clear" w:color="auto" w:fill="FFFFFF"/>
        <w:rPr>
          <w:rFonts w:ascii="Verdana" w:hAnsi="Verdana"/>
          <w:color w:val="333333"/>
          <w:sz w:val="21"/>
          <w:szCs w:val="21"/>
        </w:rPr>
      </w:pPr>
      <w:proofErr w:type="spellStart"/>
      <w:r>
        <w:rPr>
          <w:rFonts w:ascii="Verdana" w:hAnsi="Verdana"/>
          <w:color w:val="333333"/>
          <w:sz w:val="21"/>
          <w:szCs w:val="21"/>
        </w:rPr>
        <w:t>Deksametazon</w:t>
      </w:r>
      <w:proofErr w:type="spellEnd"/>
      <w:r>
        <w:rPr>
          <w:rFonts w:ascii="Verdana" w:hAnsi="Verdana"/>
          <w:color w:val="333333"/>
          <w:sz w:val="21"/>
          <w:szCs w:val="21"/>
        </w:rPr>
        <w:t xml:space="preserve"> jest natomiast lekiem szeroko dostępnym i tanim. Co więcej, zdecydowana większość lekarzy ma doświadczenie w stosowaniu GKS. Wytyczne WHO dopuszczają stosowanie innych GKS: </w:t>
      </w:r>
      <w:proofErr w:type="spellStart"/>
      <w:r>
        <w:rPr>
          <w:rFonts w:ascii="Verdana" w:hAnsi="Verdana"/>
          <w:color w:val="333333"/>
          <w:sz w:val="21"/>
          <w:szCs w:val="21"/>
        </w:rPr>
        <w:t>hydrokortyzonu</w:t>
      </w:r>
      <w:proofErr w:type="spellEnd"/>
      <w:r>
        <w:rPr>
          <w:rFonts w:ascii="Verdana" w:hAnsi="Verdana"/>
          <w:color w:val="333333"/>
          <w:sz w:val="21"/>
          <w:szCs w:val="21"/>
        </w:rPr>
        <w:t xml:space="preserve"> (50 mg </w:t>
      </w:r>
      <w:proofErr w:type="spellStart"/>
      <w:r>
        <w:rPr>
          <w:rFonts w:ascii="Verdana" w:hAnsi="Verdana"/>
          <w:i/>
          <w:iCs/>
          <w:color w:val="333333"/>
          <w:sz w:val="21"/>
          <w:szCs w:val="21"/>
        </w:rPr>
        <w:t>i.v</w:t>
      </w:r>
      <w:proofErr w:type="spellEnd"/>
      <w:r>
        <w:rPr>
          <w:rFonts w:ascii="Verdana" w:hAnsi="Verdana"/>
          <w:i/>
          <w:iCs/>
          <w:color w:val="333333"/>
          <w:sz w:val="21"/>
          <w:szCs w:val="21"/>
        </w:rPr>
        <w:t>.</w:t>
      </w:r>
      <w:r>
        <w:rPr>
          <w:rFonts w:ascii="Verdana" w:hAnsi="Verdana"/>
          <w:color w:val="333333"/>
          <w:sz w:val="21"/>
          <w:szCs w:val="21"/>
        </w:rPr>
        <w:t xml:space="preserve"> co 8 h przez 7–10 dni), </w:t>
      </w:r>
      <w:proofErr w:type="spellStart"/>
      <w:r>
        <w:rPr>
          <w:rFonts w:ascii="Verdana" w:hAnsi="Verdana"/>
          <w:color w:val="333333"/>
          <w:sz w:val="21"/>
          <w:szCs w:val="21"/>
        </w:rPr>
        <w:t>metyloprednizolonu</w:t>
      </w:r>
      <w:proofErr w:type="spellEnd"/>
      <w:r>
        <w:rPr>
          <w:rFonts w:ascii="Verdana" w:hAnsi="Verdana"/>
          <w:color w:val="333333"/>
          <w:sz w:val="21"/>
          <w:szCs w:val="21"/>
        </w:rPr>
        <w:t xml:space="preserve"> (10 mg </w:t>
      </w:r>
      <w:proofErr w:type="spellStart"/>
      <w:r>
        <w:rPr>
          <w:rFonts w:ascii="Verdana" w:hAnsi="Verdana"/>
          <w:i/>
          <w:iCs/>
          <w:color w:val="333333"/>
          <w:sz w:val="21"/>
          <w:szCs w:val="21"/>
        </w:rPr>
        <w:t>i.v</w:t>
      </w:r>
      <w:proofErr w:type="spellEnd"/>
      <w:r>
        <w:rPr>
          <w:rFonts w:ascii="Verdana" w:hAnsi="Verdana"/>
          <w:i/>
          <w:iCs/>
          <w:color w:val="333333"/>
          <w:sz w:val="21"/>
          <w:szCs w:val="21"/>
        </w:rPr>
        <w:t>.</w:t>
      </w:r>
      <w:r>
        <w:rPr>
          <w:rFonts w:ascii="Verdana" w:hAnsi="Verdana"/>
          <w:color w:val="333333"/>
          <w:sz w:val="21"/>
          <w:szCs w:val="21"/>
        </w:rPr>
        <w:t xml:space="preserve"> co 6 h przez 7–10 dni) lub </w:t>
      </w:r>
      <w:proofErr w:type="spellStart"/>
      <w:r>
        <w:rPr>
          <w:rFonts w:ascii="Verdana" w:hAnsi="Verdana"/>
          <w:color w:val="333333"/>
          <w:sz w:val="21"/>
          <w:szCs w:val="21"/>
        </w:rPr>
        <w:t>prednizonu</w:t>
      </w:r>
      <w:proofErr w:type="spellEnd"/>
      <w:r>
        <w:rPr>
          <w:rFonts w:ascii="Verdana" w:hAnsi="Verdana"/>
          <w:color w:val="333333"/>
          <w:sz w:val="21"/>
          <w:szCs w:val="21"/>
        </w:rPr>
        <w:t xml:space="preserve"> (40 mg </w:t>
      </w:r>
      <w:r>
        <w:rPr>
          <w:rFonts w:ascii="Verdana" w:hAnsi="Verdana"/>
          <w:i/>
          <w:iCs/>
          <w:color w:val="333333"/>
          <w:sz w:val="21"/>
          <w:szCs w:val="21"/>
        </w:rPr>
        <w:t>p.o.</w:t>
      </w:r>
      <w:r>
        <w:rPr>
          <w:rFonts w:ascii="Verdana" w:hAnsi="Verdana"/>
          <w:color w:val="333333"/>
          <w:sz w:val="21"/>
          <w:szCs w:val="21"/>
        </w:rPr>
        <w:t xml:space="preserve"> 1 × dz. przez 7–10 dni). Autorzy wytycznych IDSA i NIH wśród leków, które można stosować zamiast </w:t>
      </w:r>
      <w:proofErr w:type="spellStart"/>
      <w:r>
        <w:rPr>
          <w:rFonts w:ascii="Verdana" w:hAnsi="Verdana"/>
          <w:color w:val="333333"/>
          <w:sz w:val="21"/>
          <w:szCs w:val="21"/>
        </w:rPr>
        <w:t>deksametazonu</w:t>
      </w:r>
      <w:proofErr w:type="spellEnd"/>
      <w:r>
        <w:rPr>
          <w:rFonts w:ascii="Verdana" w:hAnsi="Verdana"/>
          <w:color w:val="333333"/>
          <w:sz w:val="21"/>
          <w:szCs w:val="21"/>
        </w:rPr>
        <w:t xml:space="preserve">, wymieniają </w:t>
      </w:r>
      <w:proofErr w:type="spellStart"/>
      <w:r>
        <w:rPr>
          <w:rFonts w:ascii="Verdana" w:hAnsi="Verdana"/>
          <w:color w:val="333333"/>
          <w:sz w:val="21"/>
          <w:szCs w:val="21"/>
        </w:rPr>
        <w:t>metyloprednizolon</w:t>
      </w:r>
      <w:proofErr w:type="spellEnd"/>
      <w:r>
        <w:rPr>
          <w:rFonts w:ascii="Verdana" w:hAnsi="Verdana"/>
          <w:color w:val="333333"/>
          <w:sz w:val="21"/>
          <w:szCs w:val="21"/>
        </w:rPr>
        <w:t xml:space="preserve"> w dawce 32 mg/d i </w:t>
      </w:r>
      <w:proofErr w:type="spellStart"/>
      <w:r>
        <w:rPr>
          <w:rFonts w:ascii="Verdana" w:hAnsi="Verdana"/>
          <w:color w:val="333333"/>
          <w:sz w:val="21"/>
          <w:szCs w:val="21"/>
        </w:rPr>
        <w:t>prednizon</w:t>
      </w:r>
      <w:proofErr w:type="spellEnd"/>
      <w:r>
        <w:rPr>
          <w:rFonts w:ascii="Verdana" w:hAnsi="Verdana"/>
          <w:color w:val="333333"/>
          <w:sz w:val="21"/>
          <w:szCs w:val="21"/>
        </w:rPr>
        <w:t xml:space="preserve"> w dawce 40 mg/d, nie wskazują jednak preferowanej drogi ani schematów podawania tych leków u pacjentów z COVID-19. W wytycznych NIH dodatkowo wymieniono </w:t>
      </w:r>
      <w:proofErr w:type="spellStart"/>
      <w:r>
        <w:rPr>
          <w:rFonts w:ascii="Verdana" w:hAnsi="Verdana"/>
          <w:color w:val="333333"/>
          <w:sz w:val="21"/>
          <w:szCs w:val="21"/>
        </w:rPr>
        <w:t>hydrokortyzon</w:t>
      </w:r>
      <w:proofErr w:type="spellEnd"/>
      <w:r>
        <w:rPr>
          <w:rFonts w:ascii="Verdana" w:hAnsi="Verdana"/>
          <w:color w:val="333333"/>
          <w:sz w:val="21"/>
          <w:szCs w:val="21"/>
        </w:rPr>
        <w:t xml:space="preserve"> w dawce 160 mg/d. Jednocześnie autorzy tych ostatnich wytycznych zwracają uwagę, że nie wiadomo, czy stosowanie innych GKS zamiast </w:t>
      </w:r>
      <w:proofErr w:type="spellStart"/>
      <w:r>
        <w:rPr>
          <w:rFonts w:ascii="Verdana" w:hAnsi="Verdana"/>
          <w:color w:val="333333"/>
          <w:sz w:val="21"/>
          <w:szCs w:val="21"/>
        </w:rPr>
        <w:t>deksametazonu</w:t>
      </w:r>
      <w:proofErr w:type="spellEnd"/>
      <w:r>
        <w:rPr>
          <w:rFonts w:ascii="Verdana" w:hAnsi="Verdana"/>
          <w:color w:val="333333"/>
          <w:sz w:val="21"/>
          <w:szCs w:val="21"/>
        </w:rPr>
        <w:t xml:space="preserve"> przynosi podobne korzyści.</w:t>
      </w:r>
    </w:p>
    <w:p w:rsidR="00553C9C" w:rsidRDefault="00553C9C" w:rsidP="00553C9C">
      <w:pPr>
        <w:pStyle w:val="Nagwek3"/>
        <w:shd w:val="clear" w:color="auto" w:fill="FFFFFF"/>
        <w:rPr>
          <w:rFonts w:ascii="Verdana" w:hAnsi="Verdana"/>
          <w:b w:val="0"/>
          <w:bCs w:val="0"/>
          <w:color w:val="000000"/>
        </w:rPr>
      </w:pPr>
      <w:r>
        <w:rPr>
          <w:rFonts w:ascii="Verdana" w:hAnsi="Verdana"/>
          <w:b w:val="0"/>
          <w:bCs w:val="0"/>
          <w:color w:val="000000"/>
        </w:rPr>
        <w:t xml:space="preserve">4. Czy stosowanie </w:t>
      </w:r>
      <w:proofErr w:type="spellStart"/>
      <w:r>
        <w:rPr>
          <w:rFonts w:ascii="Verdana" w:hAnsi="Verdana"/>
          <w:b w:val="0"/>
          <w:bCs w:val="0"/>
          <w:color w:val="000000"/>
        </w:rPr>
        <w:t>remdesiwiru</w:t>
      </w:r>
      <w:proofErr w:type="spellEnd"/>
      <w:r>
        <w:rPr>
          <w:rFonts w:ascii="Verdana" w:hAnsi="Verdana"/>
          <w:b w:val="0"/>
          <w:bCs w:val="0"/>
          <w:color w:val="000000"/>
        </w:rPr>
        <w:t xml:space="preserve"> jest niezbędnym warunkiem rozpoczęcia leczenia </w:t>
      </w:r>
      <w:proofErr w:type="spellStart"/>
      <w:r>
        <w:rPr>
          <w:rFonts w:ascii="Verdana" w:hAnsi="Verdana"/>
          <w:b w:val="0"/>
          <w:bCs w:val="0"/>
          <w:color w:val="000000"/>
        </w:rPr>
        <w:t>deksametazonem</w:t>
      </w:r>
      <w:proofErr w:type="spellEnd"/>
      <w:r>
        <w:rPr>
          <w:rFonts w:ascii="Verdana" w:hAnsi="Verdana"/>
          <w:b w:val="0"/>
          <w:bCs w:val="0"/>
          <w:color w:val="000000"/>
        </w:rPr>
        <w:t>?</w:t>
      </w:r>
    </w:p>
    <w:p w:rsidR="00553C9C" w:rsidRDefault="00553C9C" w:rsidP="00553C9C">
      <w:pPr>
        <w:pStyle w:val="NormalnyWeb"/>
        <w:shd w:val="clear" w:color="auto" w:fill="FFFFFF"/>
        <w:rPr>
          <w:rFonts w:ascii="Verdana" w:hAnsi="Verdana"/>
          <w:color w:val="333333"/>
          <w:sz w:val="21"/>
          <w:szCs w:val="21"/>
        </w:rPr>
      </w:pPr>
      <w:r>
        <w:rPr>
          <w:rFonts w:ascii="Verdana" w:hAnsi="Verdana"/>
          <w:color w:val="333333"/>
          <w:sz w:val="21"/>
          <w:szCs w:val="21"/>
        </w:rPr>
        <w:t xml:space="preserve">Według nas nie, jeśli są spełnione kryteria kliniczne włączenia </w:t>
      </w:r>
      <w:proofErr w:type="spellStart"/>
      <w:r>
        <w:rPr>
          <w:rFonts w:ascii="Verdana" w:hAnsi="Verdana"/>
          <w:color w:val="333333"/>
          <w:sz w:val="21"/>
          <w:szCs w:val="21"/>
        </w:rPr>
        <w:t>deksametazonu</w:t>
      </w:r>
      <w:proofErr w:type="spellEnd"/>
      <w:r>
        <w:rPr>
          <w:rFonts w:ascii="Verdana" w:hAnsi="Verdana"/>
          <w:color w:val="333333"/>
          <w:sz w:val="21"/>
          <w:szCs w:val="21"/>
        </w:rPr>
        <w:t xml:space="preserve"> (p. wyżej). Korzyści z leczenia takich chorych </w:t>
      </w:r>
      <w:proofErr w:type="spellStart"/>
      <w:r>
        <w:rPr>
          <w:rFonts w:ascii="Verdana" w:hAnsi="Verdana"/>
          <w:color w:val="333333"/>
          <w:sz w:val="21"/>
          <w:szCs w:val="21"/>
        </w:rPr>
        <w:t>deksametazonem</w:t>
      </w:r>
      <w:proofErr w:type="spellEnd"/>
      <w:r>
        <w:rPr>
          <w:rFonts w:ascii="Verdana" w:hAnsi="Verdana"/>
          <w:color w:val="333333"/>
          <w:sz w:val="21"/>
          <w:szCs w:val="21"/>
        </w:rPr>
        <w:t xml:space="preserve">, bez jednoczesnego stosowania </w:t>
      </w:r>
      <w:proofErr w:type="spellStart"/>
      <w:r>
        <w:rPr>
          <w:rFonts w:ascii="Verdana" w:hAnsi="Verdana"/>
          <w:color w:val="333333"/>
          <w:sz w:val="21"/>
          <w:szCs w:val="21"/>
        </w:rPr>
        <w:t>remdesiwiru</w:t>
      </w:r>
      <w:proofErr w:type="spellEnd"/>
      <w:r>
        <w:rPr>
          <w:rFonts w:ascii="Verdana" w:hAnsi="Verdana"/>
          <w:color w:val="333333"/>
          <w:sz w:val="21"/>
          <w:szCs w:val="21"/>
        </w:rPr>
        <w:t>, wykazano w badaniu RECOVERY. W przypadku granicznych wartości SpO</w:t>
      </w:r>
      <w:r>
        <w:rPr>
          <w:rFonts w:ascii="Verdana" w:hAnsi="Verdana"/>
          <w:color w:val="333333"/>
          <w:sz w:val="16"/>
          <w:szCs w:val="16"/>
          <w:vertAlign w:val="subscript"/>
        </w:rPr>
        <w:t>2</w:t>
      </w:r>
      <w:r>
        <w:rPr>
          <w:rFonts w:ascii="Verdana" w:hAnsi="Verdana"/>
          <w:color w:val="333333"/>
          <w:sz w:val="21"/>
          <w:szCs w:val="21"/>
        </w:rPr>
        <w:t xml:space="preserve">, którymi różnią się wytyczne w zakresie wskazań do tlenoterapii, według zaleceń </w:t>
      </w:r>
      <w:proofErr w:type="spellStart"/>
      <w:r>
        <w:rPr>
          <w:rFonts w:ascii="Verdana" w:hAnsi="Verdana"/>
          <w:color w:val="333333"/>
          <w:sz w:val="21"/>
          <w:szCs w:val="21"/>
        </w:rPr>
        <w:t>PTEiLChZ</w:t>
      </w:r>
      <w:proofErr w:type="spellEnd"/>
      <w:r>
        <w:rPr>
          <w:rFonts w:ascii="Verdana" w:hAnsi="Verdana"/>
          <w:color w:val="333333"/>
          <w:sz w:val="21"/>
          <w:szCs w:val="21"/>
        </w:rPr>
        <w:t xml:space="preserve"> można rozważyć stosowanie GKS w małej dawce, ale tylko łącznie z </w:t>
      </w:r>
      <w:proofErr w:type="spellStart"/>
      <w:r>
        <w:rPr>
          <w:rFonts w:ascii="Verdana" w:hAnsi="Verdana"/>
          <w:color w:val="333333"/>
          <w:sz w:val="21"/>
          <w:szCs w:val="21"/>
        </w:rPr>
        <w:t>wirostatykiem</w:t>
      </w:r>
      <w:proofErr w:type="spellEnd"/>
      <w:r>
        <w:rPr>
          <w:rFonts w:ascii="Verdana" w:hAnsi="Verdana"/>
          <w:color w:val="333333"/>
          <w:sz w:val="21"/>
          <w:szCs w:val="21"/>
        </w:rPr>
        <w:t xml:space="preserve"> skutecznym wobec SARS-CoV-2 (aktualnie tylko </w:t>
      </w:r>
      <w:proofErr w:type="spellStart"/>
      <w:r>
        <w:rPr>
          <w:rFonts w:ascii="Verdana" w:hAnsi="Verdana"/>
          <w:color w:val="333333"/>
          <w:sz w:val="21"/>
          <w:szCs w:val="21"/>
        </w:rPr>
        <w:t>remdesiwir</w:t>
      </w:r>
      <w:proofErr w:type="spellEnd"/>
      <w:r>
        <w:rPr>
          <w:rFonts w:ascii="Verdana" w:hAnsi="Verdana"/>
          <w:color w:val="333333"/>
          <w:sz w:val="21"/>
          <w:szCs w:val="21"/>
        </w:rPr>
        <w:t>). W badaniu RECOVERY wykazano bowiem, że zbyt wczesne włączenie do leczenia GKS (u chorych niewymagających leczenia tlenem) nie tylko nie przynosi oczekiwanych korzyści chorym na COVID-19, ale może być wręcz niekorzystne (zwiększone ryzyko zgonu).</w:t>
      </w:r>
    </w:p>
    <w:p w:rsidR="00553C9C" w:rsidRDefault="00553C9C" w:rsidP="00553C9C">
      <w:pPr>
        <w:pStyle w:val="Nagwek3"/>
        <w:shd w:val="clear" w:color="auto" w:fill="FFFFFF"/>
        <w:rPr>
          <w:rFonts w:ascii="Verdana" w:hAnsi="Verdana"/>
          <w:b w:val="0"/>
          <w:bCs w:val="0"/>
          <w:color w:val="000000"/>
        </w:rPr>
      </w:pPr>
      <w:r>
        <w:rPr>
          <w:rFonts w:ascii="Verdana" w:hAnsi="Verdana"/>
          <w:b w:val="0"/>
          <w:bCs w:val="0"/>
          <w:color w:val="000000"/>
        </w:rPr>
        <w:t>5. Czy i kiedy stosować u chorych na COVID-19 heparynę drobnocząsteczkową?</w:t>
      </w:r>
    </w:p>
    <w:p w:rsidR="00553C9C" w:rsidRDefault="00553C9C" w:rsidP="00553C9C">
      <w:pPr>
        <w:pStyle w:val="NormalnyWeb"/>
        <w:shd w:val="clear" w:color="auto" w:fill="FFFFFF"/>
        <w:rPr>
          <w:rFonts w:ascii="Verdana" w:hAnsi="Verdana"/>
          <w:color w:val="333333"/>
          <w:sz w:val="21"/>
          <w:szCs w:val="21"/>
        </w:rPr>
      </w:pPr>
      <w:r>
        <w:rPr>
          <w:rFonts w:ascii="Verdana" w:hAnsi="Verdana"/>
          <w:color w:val="333333"/>
          <w:sz w:val="21"/>
          <w:szCs w:val="21"/>
        </w:rPr>
        <w:lastRenderedPageBreak/>
        <w:t>Już na początku epidemii zauważono u chorych na COVID-19 zwiększoną częstość powikłań zakrzepowych, co się przypisuje uogólnionej reakcji zapalnej (p. także „COVID-19 a zaburzenia hemostazy” w nr. 7-8/2020 „Medycyny Praktycznej”). Żylna choroba zakrzepowo-zatorowa (</w:t>
      </w:r>
      <w:proofErr w:type="spellStart"/>
      <w:r>
        <w:rPr>
          <w:rFonts w:ascii="Verdana" w:hAnsi="Verdana"/>
          <w:color w:val="333333"/>
          <w:sz w:val="21"/>
          <w:szCs w:val="21"/>
        </w:rPr>
        <w:t>ŻChZZ</w:t>
      </w:r>
      <w:proofErr w:type="spellEnd"/>
      <w:r>
        <w:rPr>
          <w:rFonts w:ascii="Verdana" w:hAnsi="Verdana"/>
          <w:color w:val="333333"/>
          <w:sz w:val="21"/>
          <w:szCs w:val="21"/>
        </w:rPr>
        <w:t>) jest jednym z najczęściej występujących powikłań układu sercowo-naczyniowego w COVID-19 i rozpoznaje się ją u co 4. pacjenta leczonego na OIT.</w:t>
      </w:r>
      <w:r>
        <w:rPr>
          <w:rFonts w:ascii="Verdana" w:hAnsi="Verdana"/>
          <w:color w:val="333333"/>
          <w:sz w:val="16"/>
          <w:szCs w:val="16"/>
          <w:vertAlign w:val="superscript"/>
        </w:rPr>
        <w:t>13</w:t>
      </w:r>
      <w:r>
        <w:rPr>
          <w:rFonts w:ascii="Verdana" w:hAnsi="Verdana"/>
          <w:color w:val="333333"/>
          <w:sz w:val="21"/>
          <w:szCs w:val="21"/>
        </w:rPr>
        <w:t xml:space="preserve"> Co więcej, badania histologiczne wykonane pośmiertnie wykazały częste występowanie </w:t>
      </w:r>
      <w:proofErr w:type="spellStart"/>
      <w:r>
        <w:rPr>
          <w:rFonts w:ascii="Verdana" w:hAnsi="Verdana"/>
          <w:color w:val="333333"/>
          <w:sz w:val="21"/>
          <w:szCs w:val="21"/>
        </w:rPr>
        <w:t>mikrozatorów</w:t>
      </w:r>
      <w:proofErr w:type="spellEnd"/>
      <w:r>
        <w:rPr>
          <w:rFonts w:ascii="Verdana" w:hAnsi="Verdana"/>
          <w:color w:val="333333"/>
          <w:sz w:val="21"/>
          <w:szCs w:val="21"/>
        </w:rPr>
        <w:t xml:space="preserve"> w małych tętnicach płuc u osób zmarłych z powodu COVID-19.</w:t>
      </w:r>
      <w:r>
        <w:rPr>
          <w:rFonts w:ascii="Verdana" w:hAnsi="Verdana"/>
          <w:color w:val="333333"/>
          <w:sz w:val="16"/>
          <w:szCs w:val="16"/>
          <w:vertAlign w:val="superscript"/>
        </w:rPr>
        <w:t>14</w:t>
      </w:r>
      <w:r>
        <w:rPr>
          <w:rFonts w:ascii="Verdana" w:hAnsi="Verdana"/>
          <w:color w:val="333333"/>
          <w:sz w:val="21"/>
          <w:szCs w:val="21"/>
        </w:rPr>
        <w:t xml:space="preserve"> W badaniu przeprowadzonym w Stanach Zjednoczonych </w:t>
      </w:r>
      <w:proofErr w:type="spellStart"/>
      <w:r>
        <w:rPr>
          <w:rFonts w:ascii="Verdana" w:hAnsi="Verdana"/>
          <w:color w:val="333333"/>
          <w:sz w:val="21"/>
          <w:szCs w:val="21"/>
        </w:rPr>
        <w:t>Piazza</w:t>
      </w:r>
      <w:proofErr w:type="spellEnd"/>
      <w:r>
        <w:rPr>
          <w:rFonts w:ascii="Verdana" w:hAnsi="Verdana"/>
          <w:color w:val="333333"/>
          <w:sz w:val="21"/>
          <w:szCs w:val="21"/>
        </w:rPr>
        <w:t xml:space="preserve"> i </w:t>
      </w:r>
      <w:proofErr w:type="spellStart"/>
      <w:r>
        <w:rPr>
          <w:rFonts w:ascii="Verdana" w:hAnsi="Verdana"/>
          <w:color w:val="333333"/>
          <w:sz w:val="21"/>
          <w:szCs w:val="21"/>
        </w:rPr>
        <w:t>wsp</w:t>
      </w:r>
      <w:proofErr w:type="spellEnd"/>
      <w:r>
        <w:rPr>
          <w:rFonts w:ascii="Verdana" w:hAnsi="Verdana"/>
          <w:color w:val="333333"/>
          <w:sz w:val="21"/>
          <w:szCs w:val="21"/>
        </w:rPr>
        <w:t xml:space="preserve">. przeanalizowali dane medyczne 1114 pacjentów w wieku &gt;18 lat z COVID-19 o różnym stopniu zaawansowania choroby, leczonych zarówno w warunkach szpitalnych (170 na OIT, 229 na innych oddziałach), jak i ambulatoryjnie (715 osób). 44,2% pacjentów było innej rasy niż biała, 35,8% miało nadciśnienie tętnicze, 28,6% </w:t>
      </w:r>
      <w:proofErr w:type="spellStart"/>
      <w:r>
        <w:rPr>
          <w:rFonts w:ascii="Verdana" w:hAnsi="Verdana"/>
          <w:color w:val="333333"/>
          <w:sz w:val="21"/>
          <w:szCs w:val="21"/>
        </w:rPr>
        <w:t>hiperlipidemię</w:t>
      </w:r>
      <w:proofErr w:type="spellEnd"/>
      <w:r>
        <w:rPr>
          <w:rFonts w:ascii="Verdana" w:hAnsi="Verdana"/>
          <w:color w:val="333333"/>
          <w:sz w:val="21"/>
          <w:szCs w:val="21"/>
        </w:rPr>
        <w:t xml:space="preserve">, a 18% cukrzycę. Zakrzepicę dużych naczyń żylnych lub tętniczych stwierdzono u 35,5% chorych leczonych na OIT i 2,6% chorych na innych oddziałach, zdarzenia sercowo-naczyniowe odpowiednio u 45,9% i 6,1%, a objawową </w:t>
      </w:r>
      <w:proofErr w:type="spellStart"/>
      <w:r>
        <w:rPr>
          <w:rFonts w:ascii="Verdana" w:hAnsi="Verdana"/>
          <w:color w:val="333333"/>
          <w:sz w:val="21"/>
          <w:szCs w:val="21"/>
        </w:rPr>
        <w:t>ŻChZZ</w:t>
      </w:r>
      <w:proofErr w:type="spellEnd"/>
      <w:r>
        <w:rPr>
          <w:rFonts w:ascii="Verdana" w:hAnsi="Verdana"/>
          <w:color w:val="333333"/>
          <w:sz w:val="21"/>
          <w:szCs w:val="21"/>
        </w:rPr>
        <w:t xml:space="preserve"> u 27,0% i 2,2%. U żadnego chorego leczonego ambulatoryjnie nie stwierdzono wyżej wymienionych powikłań. Profilaktyczne leczenie przeciwzakrzepowe otrzymało 89,4% chorych na COVID-19 leczonych na OIT i 84,7% hospitalizowanych na pozostałych oddziałach.</w:t>
      </w:r>
      <w:r>
        <w:rPr>
          <w:rFonts w:ascii="Verdana" w:hAnsi="Verdana"/>
          <w:color w:val="333333"/>
          <w:sz w:val="16"/>
          <w:szCs w:val="16"/>
          <w:vertAlign w:val="superscript"/>
        </w:rPr>
        <w:t>15</w:t>
      </w:r>
    </w:p>
    <w:p w:rsidR="00553C9C" w:rsidRDefault="00553C9C" w:rsidP="00553C9C">
      <w:pPr>
        <w:pStyle w:val="NormalnyWeb"/>
        <w:shd w:val="clear" w:color="auto" w:fill="FFFFFF"/>
        <w:rPr>
          <w:rFonts w:ascii="Verdana" w:hAnsi="Verdana"/>
          <w:color w:val="333333"/>
          <w:sz w:val="21"/>
          <w:szCs w:val="21"/>
        </w:rPr>
      </w:pPr>
      <w:r>
        <w:rPr>
          <w:rFonts w:ascii="Verdana" w:hAnsi="Verdana"/>
          <w:color w:val="333333"/>
          <w:sz w:val="21"/>
          <w:szCs w:val="21"/>
        </w:rPr>
        <w:t xml:space="preserve">Mimo coraz większej wiedzy na temat powikłań zakrzepowych w przebiegu zakażenia SARS-CoV-2 nadal nie ma przekonujących danych przemawiających za zaleceniem stosowania profilaktyki przeciwzakrzepowej z powodu zachorowania na COVID-19. Autorzy zaleceń </w:t>
      </w:r>
      <w:proofErr w:type="spellStart"/>
      <w:r>
        <w:rPr>
          <w:rFonts w:ascii="Verdana" w:hAnsi="Verdana"/>
          <w:color w:val="333333"/>
          <w:sz w:val="21"/>
          <w:szCs w:val="21"/>
        </w:rPr>
        <w:t>PTEiLChZ</w:t>
      </w:r>
      <w:proofErr w:type="spellEnd"/>
      <w:r>
        <w:rPr>
          <w:rFonts w:ascii="Verdana" w:hAnsi="Verdana"/>
          <w:color w:val="333333"/>
          <w:sz w:val="21"/>
          <w:szCs w:val="21"/>
        </w:rPr>
        <w:t xml:space="preserve">, podobnie jak autorzy innych wytycznych, nie zalecają stosowania heparyny ani kwasu acetylosalicylowego u pacjentów z łagodnym przebiegiem COVID-19 (leczonych ambulatoryjnie i w pełni mobilnych), o ile nie ma innych wskazań do takiej terapii. Są natomiast pewne różnice pomiędzy wytycznymi co do postępowania u pacjentów wymagających hospitalizacji (p. </w:t>
      </w:r>
      <w:proofErr w:type="spellStart"/>
      <w:r>
        <w:rPr>
          <w:rFonts w:ascii="Verdana" w:hAnsi="Verdana"/>
          <w:color w:val="333333"/>
          <w:sz w:val="21"/>
          <w:szCs w:val="21"/>
        </w:rPr>
        <w:t>tab</w:t>
      </w:r>
      <w:proofErr w:type="spellEnd"/>
      <w:r>
        <w:rPr>
          <w:rFonts w:ascii="Verdana" w:hAnsi="Verdana"/>
          <w:color w:val="333333"/>
          <w:sz w:val="21"/>
          <w:szCs w:val="21"/>
        </w:rPr>
        <w:t xml:space="preserve">) – wytyczne </w:t>
      </w:r>
      <w:proofErr w:type="spellStart"/>
      <w:r>
        <w:rPr>
          <w:rFonts w:ascii="Verdana" w:hAnsi="Verdana"/>
          <w:color w:val="333333"/>
          <w:sz w:val="21"/>
          <w:szCs w:val="21"/>
        </w:rPr>
        <w:t>PTEiLChZ</w:t>
      </w:r>
      <w:proofErr w:type="spellEnd"/>
      <w:r>
        <w:rPr>
          <w:rFonts w:ascii="Verdana" w:hAnsi="Verdana"/>
          <w:color w:val="333333"/>
          <w:sz w:val="21"/>
          <w:szCs w:val="21"/>
        </w:rPr>
        <w:t xml:space="preserve"> nie precyzują szczegółowo, w jakich konkretnie sytuacjach zastosować profilaktykę lub leczenie przeciwzakrzepowe, natomiast wskazują, że należy je rozważyć u chorych już od 2. stadium choroby (przyjętych do szpitala). Autorzy wytycznych amerykańskich (NIH) zalecają, aby wdrażać takie postępowanie u pacjentów hospitalizowanych, kierując się wskazaniami dla chorych bez COVID-19 (unieruchomienie w łóżku, w przypadku COVID-19 wynikające z tlenoterapii lub znacznego osłabienia, lub ciężkiego stanu chorego). Zwracają uwagę na to, że obecnie nie ma wystarczających danych naukowych przemawiających za stosowaniem (lub przeciwko stosowaniu) leków przeciwzakrzepowych lub zwiększaniem ich dawki w profilaktyce </w:t>
      </w:r>
      <w:proofErr w:type="spellStart"/>
      <w:r>
        <w:rPr>
          <w:rFonts w:ascii="Verdana" w:hAnsi="Verdana"/>
          <w:color w:val="333333"/>
          <w:sz w:val="21"/>
          <w:szCs w:val="21"/>
        </w:rPr>
        <w:t>ŻChZZ</w:t>
      </w:r>
      <w:proofErr w:type="spellEnd"/>
      <w:r>
        <w:rPr>
          <w:rFonts w:ascii="Verdana" w:hAnsi="Verdana"/>
          <w:color w:val="333333"/>
          <w:sz w:val="21"/>
          <w:szCs w:val="21"/>
        </w:rPr>
        <w:t xml:space="preserve"> tylko z powodu COVID-19, poza postępowaniem w ramach badania klinicznego. Zalecenia dotyczące profilaktyki przeciwzakrzepowej u chorych na COVID-19 zostaną jednak w niedługim czasie sprecyzowane na podstawie wyników toczących się badań klinicznych. Niektórzy eksperci już sugerują, że u hospitalizowanych chorych z bardzo dużym stężeniem </w:t>
      </w:r>
      <w:proofErr w:type="spellStart"/>
      <w:r>
        <w:rPr>
          <w:rFonts w:ascii="Verdana" w:hAnsi="Verdana"/>
          <w:color w:val="333333"/>
          <w:sz w:val="21"/>
          <w:szCs w:val="21"/>
        </w:rPr>
        <w:t>dimeru</w:t>
      </w:r>
      <w:proofErr w:type="spellEnd"/>
      <w:r>
        <w:rPr>
          <w:rFonts w:ascii="Verdana" w:hAnsi="Verdana"/>
          <w:color w:val="333333"/>
          <w:sz w:val="21"/>
          <w:szCs w:val="21"/>
        </w:rPr>
        <w:t xml:space="preserve"> D można rozważyć zwiększenie dawki heparyny drobnocząsteczkowej (</w:t>
      </w:r>
      <w:proofErr w:type="spellStart"/>
      <w:r>
        <w:rPr>
          <w:rFonts w:ascii="Verdana" w:hAnsi="Verdana"/>
          <w:color w:val="333333"/>
          <w:sz w:val="21"/>
          <w:szCs w:val="21"/>
        </w:rPr>
        <w:t>HDCz</w:t>
      </w:r>
      <w:proofErr w:type="spellEnd"/>
      <w:r>
        <w:rPr>
          <w:rFonts w:ascii="Verdana" w:hAnsi="Verdana"/>
          <w:color w:val="333333"/>
          <w:sz w:val="21"/>
          <w:szCs w:val="21"/>
        </w:rPr>
        <w:t xml:space="preserve">). Rozważa się również podawanie </w:t>
      </w:r>
      <w:proofErr w:type="spellStart"/>
      <w:r>
        <w:rPr>
          <w:rFonts w:ascii="Verdana" w:hAnsi="Verdana"/>
          <w:color w:val="333333"/>
          <w:sz w:val="21"/>
          <w:szCs w:val="21"/>
        </w:rPr>
        <w:t>HDCz</w:t>
      </w:r>
      <w:proofErr w:type="spellEnd"/>
      <w:r>
        <w:rPr>
          <w:rFonts w:ascii="Verdana" w:hAnsi="Verdana"/>
          <w:color w:val="333333"/>
          <w:sz w:val="21"/>
          <w:szCs w:val="21"/>
        </w:rPr>
        <w:t xml:space="preserve"> w dawce terapeutycznej u chorych obciążonych szczególnie dużym ryzykiem powikłań zakrzepowych oraz w przypadku nawracającego wykrzepiania dostępów naczyniowych, układów do dializ lub pozaustrojowej </w:t>
      </w:r>
      <w:proofErr w:type="spellStart"/>
      <w:r>
        <w:rPr>
          <w:rFonts w:ascii="Verdana" w:hAnsi="Verdana"/>
          <w:color w:val="333333"/>
          <w:sz w:val="21"/>
          <w:szCs w:val="21"/>
        </w:rPr>
        <w:t>oksygenacji</w:t>
      </w:r>
      <w:proofErr w:type="spellEnd"/>
      <w:r>
        <w:rPr>
          <w:rFonts w:ascii="Verdana" w:hAnsi="Verdana"/>
          <w:color w:val="333333"/>
          <w:sz w:val="21"/>
          <w:szCs w:val="21"/>
        </w:rPr>
        <w:t xml:space="preserve"> </w:t>
      </w:r>
      <w:proofErr w:type="spellStart"/>
      <w:r>
        <w:rPr>
          <w:rFonts w:ascii="Verdana" w:hAnsi="Verdana"/>
          <w:color w:val="333333"/>
          <w:sz w:val="21"/>
          <w:szCs w:val="21"/>
        </w:rPr>
        <w:t>przezbłonowej</w:t>
      </w:r>
      <w:proofErr w:type="spellEnd"/>
      <w:r>
        <w:rPr>
          <w:rFonts w:ascii="Verdana" w:hAnsi="Verdana"/>
          <w:color w:val="333333"/>
          <w:sz w:val="21"/>
          <w:szCs w:val="21"/>
        </w:rPr>
        <w:t xml:space="preserve"> (ECMO) pomimo stosowania profilaktyki przeciwzakrzepowej (każdy pacjent z COVID-19 leczony na OIT powinien otrzymać co najmniej profilaktyczną dawkę </w:t>
      </w:r>
      <w:proofErr w:type="spellStart"/>
      <w:r>
        <w:rPr>
          <w:rFonts w:ascii="Verdana" w:hAnsi="Verdana"/>
          <w:color w:val="333333"/>
          <w:sz w:val="21"/>
          <w:szCs w:val="21"/>
        </w:rPr>
        <w:t>HDCz</w:t>
      </w:r>
      <w:proofErr w:type="spellEnd"/>
      <w:r>
        <w:rPr>
          <w:rFonts w:ascii="Verdana" w:hAnsi="Verdana"/>
          <w:color w:val="333333"/>
          <w:sz w:val="21"/>
          <w:szCs w:val="21"/>
        </w:rPr>
        <w:t xml:space="preserve"> dostosowaną do wartości </w:t>
      </w:r>
      <w:proofErr w:type="spellStart"/>
      <w:r>
        <w:rPr>
          <w:rFonts w:ascii="Verdana" w:hAnsi="Verdana"/>
          <w:color w:val="333333"/>
          <w:sz w:val="21"/>
          <w:szCs w:val="21"/>
        </w:rPr>
        <w:t>eGFR</w:t>
      </w:r>
      <w:proofErr w:type="spellEnd"/>
      <w:r>
        <w:rPr>
          <w:rFonts w:ascii="Verdana" w:hAnsi="Verdana"/>
          <w:color w:val="333333"/>
          <w:sz w:val="21"/>
          <w:szCs w:val="21"/>
        </w:rPr>
        <w:t>). Podkreślamy jednak, że są to sugestie ekspertów i dotychczas nie znalazły się w wytycznych ani nie zostały zweryfikowane w dużych RCT u chorych na COVID-19.</w:t>
      </w:r>
    </w:p>
    <w:p w:rsidR="00553C9C" w:rsidRDefault="00553C9C" w:rsidP="00553C9C">
      <w:pPr>
        <w:pStyle w:val="NormalnyWeb"/>
        <w:shd w:val="clear" w:color="auto" w:fill="FFFFFF"/>
        <w:rPr>
          <w:rFonts w:ascii="Verdana" w:hAnsi="Verdana"/>
          <w:color w:val="333333"/>
          <w:sz w:val="21"/>
          <w:szCs w:val="21"/>
        </w:rPr>
      </w:pPr>
      <w:r>
        <w:rPr>
          <w:rFonts w:ascii="Verdana" w:hAnsi="Verdana"/>
          <w:color w:val="333333"/>
          <w:sz w:val="21"/>
          <w:szCs w:val="21"/>
        </w:rPr>
        <w:t xml:space="preserve">Nie należy natomiast opóźniać rozpoczęcia leczenia przeciwzakrzepowego w przypadku silnego podejrzenia powikłań zakrzepowych w razie braku dostępu do </w:t>
      </w:r>
      <w:r>
        <w:rPr>
          <w:rFonts w:ascii="Verdana" w:hAnsi="Verdana"/>
          <w:color w:val="333333"/>
          <w:sz w:val="21"/>
          <w:szCs w:val="21"/>
        </w:rPr>
        <w:lastRenderedPageBreak/>
        <w:t>badań obrazowych, które mogłyby takie rozpoznanie zweryfikować. Według wytycznych NIH tacy pacjenci powinni otrzymać leczenie przeciwzakrzepowe w dawkach terapeutycznych zgodnie z zaleceniami dla chorych bez COVID-19.</w:t>
      </w:r>
    </w:p>
    <w:p w:rsidR="00553C9C" w:rsidRDefault="00553C9C" w:rsidP="00553C9C">
      <w:pPr>
        <w:pStyle w:val="Nagwek3"/>
        <w:shd w:val="clear" w:color="auto" w:fill="FFFFFF"/>
        <w:rPr>
          <w:rFonts w:ascii="Verdana" w:hAnsi="Verdana"/>
          <w:b w:val="0"/>
          <w:bCs w:val="0"/>
          <w:color w:val="000000"/>
        </w:rPr>
      </w:pPr>
      <w:r>
        <w:rPr>
          <w:rFonts w:ascii="Verdana" w:hAnsi="Verdana"/>
          <w:b w:val="0"/>
          <w:bCs w:val="0"/>
          <w:color w:val="000000"/>
        </w:rPr>
        <w:t>6. Kiedy u pacjenta z COVID-19 należy rozważać zastosowanie antybiotyku?</w:t>
      </w:r>
    </w:p>
    <w:p w:rsidR="00553C9C" w:rsidRDefault="00553C9C" w:rsidP="00553C9C">
      <w:pPr>
        <w:pStyle w:val="NormalnyWeb"/>
        <w:shd w:val="clear" w:color="auto" w:fill="FFFFFF"/>
        <w:rPr>
          <w:rFonts w:ascii="Verdana" w:hAnsi="Verdana"/>
          <w:color w:val="333333"/>
          <w:sz w:val="21"/>
          <w:szCs w:val="21"/>
        </w:rPr>
      </w:pPr>
      <w:r>
        <w:rPr>
          <w:rFonts w:ascii="Verdana" w:hAnsi="Verdana"/>
          <w:color w:val="333333"/>
          <w:sz w:val="21"/>
          <w:szCs w:val="21"/>
        </w:rPr>
        <w:t xml:space="preserve">COVID-19 jest chorobą wirusową, zatem stosowanie antybiotykoterapii tylko z powodu zakażenia SARS-CoV-2 mija się z celem i wiąże się z ryzykiem wystąpienia skutków niepożądanych, rozwoju lekooporności oraz konsekwencjami zaburzeń </w:t>
      </w:r>
      <w:proofErr w:type="spellStart"/>
      <w:r>
        <w:rPr>
          <w:rFonts w:ascii="Verdana" w:hAnsi="Verdana"/>
          <w:color w:val="333333"/>
          <w:sz w:val="21"/>
          <w:szCs w:val="21"/>
        </w:rPr>
        <w:t>mikrobioty</w:t>
      </w:r>
      <w:proofErr w:type="spellEnd"/>
      <w:r>
        <w:rPr>
          <w:rFonts w:ascii="Verdana" w:hAnsi="Verdana"/>
          <w:color w:val="333333"/>
          <w:sz w:val="21"/>
          <w:szCs w:val="21"/>
        </w:rPr>
        <w:t xml:space="preserve"> pacjenta. Jednak zakażenie SARS-CoV-2, tak jak zakażenia układu oddechowego innymi wirusami, może torować drogę zakażeniom bakteryjnym, choć jak dotąd nie wykazano, aby zdarzało się to istotnie częściej niż na przykład w przypadku grypy. </w:t>
      </w:r>
      <w:proofErr w:type="spellStart"/>
      <w:r>
        <w:rPr>
          <w:rFonts w:ascii="Verdana" w:hAnsi="Verdana"/>
          <w:color w:val="333333"/>
          <w:sz w:val="21"/>
          <w:szCs w:val="21"/>
        </w:rPr>
        <w:t>Lansbury</w:t>
      </w:r>
      <w:proofErr w:type="spellEnd"/>
      <w:r>
        <w:rPr>
          <w:rFonts w:ascii="Verdana" w:hAnsi="Verdana"/>
          <w:color w:val="333333"/>
          <w:sz w:val="21"/>
          <w:szCs w:val="21"/>
        </w:rPr>
        <w:t xml:space="preserve"> i </w:t>
      </w:r>
      <w:proofErr w:type="spellStart"/>
      <w:r>
        <w:rPr>
          <w:rFonts w:ascii="Verdana" w:hAnsi="Verdana"/>
          <w:color w:val="333333"/>
          <w:sz w:val="21"/>
          <w:szCs w:val="21"/>
        </w:rPr>
        <w:t>wsp</w:t>
      </w:r>
      <w:proofErr w:type="spellEnd"/>
      <w:r>
        <w:rPr>
          <w:rFonts w:ascii="Verdana" w:hAnsi="Verdana"/>
          <w:color w:val="333333"/>
          <w:sz w:val="21"/>
          <w:szCs w:val="21"/>
        </w:rPr>
        <w:t>. w metaanalizie wykazali towarzyszące zakażenie bakteryjne u około 7% chorych hospitalizowanych z powodu COVID-19 i u 14% hospitalizowanych na OIT, a więc rzadziej niż w przypadku pandemii grypy A(H1N1)pdm09.</w:t>
      </w:r>
      <w:r>
        <w:rPr>
          <w:rFonts w:ascii="Verdana" w:hAnsi="Verdana"/>
          <w:color w:val="333333"/>
          <w:sz w:val="16"/>
          <w:szCs w:val="16"/>
          <w:vertAlign w:val="superscript"/>
        </w:rPr>
        <w:t>16,17</w:t>
      </w:r>
      <w:r>
        <w:rPr>
          <w:rFonts w:ascii="Verdana" w:hAnsi="Verdana"/>
          <w:color w:val="333333"/>
          <w:sz w:val="21"/>
          <w:szCs w:val="21"/>
        </w:rPr>
        <w:t xml:space="preserve"> Stwierdzili również, że najczęstszym bakteryjnym czynnikiem etiologicznym była M. </w:t>
      </w:r>
      <w:proofErr w:type="spellStart"/>
      <w:r>
        <w:rPr>
          <w:rFonts w:ascii="Verdana" w:hAnsi="Verdana"/>
          <w:color w:val="333333"/>
          <w:sz w:val="21"/>
          <w:szCs w:val="21"/>
        </w:rPr>
        <w:t>pneumoniae</w:t>
      </w:r>
      <w:proofErr w:type="spellEnd"/>
      <w:r>
        <w:rPr>
          <w:rFonts w:ascii="Verdana" w:hAnsi="Verdana"/>
          <w:color w:val="333333"/>
          <w:sz w:val="21"/>
          <w:szCs w:val="21"/>
        </w:rPr>
        <w:t xml:space="preserve">, w dalszej kolejności P. </w:t>
      </w:r>
      <w:proofErr w:type="spellStart"/>
      <w:r>
        <w:rPr>
          <w:rFonts w:ascii="Verdana" w:hAnsi="Verdana"/>
          <w:color w:val="333333"/>
          <w:sz w:val="21"/>
          <w:szCs w:val="21"/>
        </w:rPr>
        <w:t>aeruginosa</w:t>
      </w:r>
      <w:proofErr w:type="spellEnd"/>
      <w:r>
        <w:rPr>
          <w:rFonts w:ascii="Verdana" w:hAnsi="Verdana"/>
          <w:color w:val="333333"/>
          <w:sz w:val="21"/>
          <w:szCs w:val="21"/>
        </w:rPr>
        <w:t xml:space="preserve">, H. </w:t>
      </w:r>
      <w:proofErr w:type="spellStart"/>
      <w:r>
        <w:rPr>
          <w:rFonts w:ascii="Verdana" w:hAnsi="Verdana"/>
          <w:color w:val="333333"/>
          <w:sz w:val="21"/>
          <w:szCs w:val="21"/>
        </w:rPr>
        <w:t>influenzae</w:t>
      </w:r>
      <w:proofErr w:type="spellEnd"/>
      <w:r>
        <w:rPr>
          <w:rFonts w:ascii="Verdana" w:hAnsi="Verdana"/>
          <w:color w:val="333333"/>
          <w:sz w:val="21"/>
          <w:szCs w:val="21"/>
        </w:rPr>
        <w:t xml:space="preserve"> i K. </w:t>
      </w:r>
      <w:proofErr w:type="spellStart"/>
      <w:r>
        <w:rPr>
          <w:rFonts w:ascii="Verdana" w:hAnsi="Verdana"/>
          <w:color w:val="333333"/>
          <w:sz w:val="21"/>
          <w:szCs w:val="21"/>
        </w:rPr>
        <w:t>pneumoniae</w:t>
      </w:r>
      <w:proofErr w:type="spellEnd"/>
      <w:r>
        <w:rPr>
          <w:rFonts w:ascii="Verdana" w:hAnsi="Verdana"/>
          <w:color w:val="333333"/>
          <w:sz w:val="21"/>
          <w:szCs w:val="21"/>
        </w:rPr>
        <w:t xml:space="preserve">. Zwrócili jednak uwagę, że dane dotyczące częstości zakażeń M. </w:t>
      </w:r>
      <w:proofErr w:type="spellStart"/>
      <w:r>
        <w:rPr>
          <w:rFonts w:ascii="Verdana" w:hAnsi="Verdana"/>
          <w:color w:val="333333"/>
          <w:sz w:val="21"/>
          <w:szCs w:val="21"/>
        </w:rPr>
        <w:t>pneumoniae</w:t>
      </w:r>
      <w:proofErr w:type="spellEnd"/>
      <w:r>
        <w:rPr>
          <w:rFonts w:ascii="Verdana" w:hAnsi="Verdana"/>
          <w:color w:val="333333"/>
          <w:sz w:val="21"/>
          <w:szCs w:val="21"/>
        </w:rPr>
        <w:t xml:space="preserve"> są prawdopodobnie zawyżone, ponieważ w większości przypadków opierały się tylko na diagnostyce serologicznej, nie jest zatem znana rzeczywista liczba zakażeń tym patogenem. Dodatni wynik badania serologicznego może bowiem oznaczać zarówno czynne, jak i wcześniej przebyte zakażenie. Z kolei zakażenia pałeczkami Gram-ujemnymi autorzy wiązali przede wszystkim z zakażeniami szpitalnymi występującymi na OIT i nie wiadomo, czy SARS-CoV-2 predysponuje do zakażeń takimi patogenami, czy raczej miały one związek z mechaniczną wentylacją. Co ciekawe, w analizowanych danych pochodzących od 3834 pacjentów udokumentowano tylko jedno zakażenie MRSA i ani jednego zakażenia </w:t>
      </w:r>
      <w:r>
        <w:rPr>
          <w:rFonts w:ascii="Verdana" w:hAnsi="Verdana"/>
          <w:i/>
          <w:iCs/>
          <w:color w:val="333333"/>
          <w:sz w:val="21"/>
          <w:szCs w:val="21"/>
        </w:rPr>
        <w:t xml:space="preserve">S. </w:t>
      </w:r>
      <w:proofErr w:type="spellStart"/>
      <w:r>
        <w:rPr>
          <w:rFonts w:ascii="Verdana" w:hAnsi="Verdana"/>
          <w:i/>
          <w:iCs/>
          <w:color w:val="333333"/>
          <w:sz w:val="21"/>
          <w:szCs w:val="21"/>
        </w:rPr>
        <w:t>pneumoniae</w:t>
      </w:r>
      <w:proofErr w:type="spellEnd"/>
      <w:r>
        <w:rPr>
          <w:rFonts w:ascii="Verdana" w:hAnsi="Verdana"/>
          <w:color w:val="333333"/>
          <w:sz w:val="21"/>
          <w:szCs w:val="21"/>
        </w:rPr>
        <w:t> lub </w:t>
      </w:r>
      <w:r>
        <w:rPr>
          <w:rFonts w:ascii="Verdana" w:hAnsi="Verdana"/>
          <w:i/>
          <w:iCs/>
          <w:color w:val="333333"/>
          <w:sz w:val="21"/>
          <w:szCs w:val="21"/>
        </w:rPr>
        <w:t xml:space="preserve">S. </w:t>
      </w:r>
      <w:proofErr w:type="spellStart"/>
      <w:r>
        <w:rPr>
          <w:rFonts w:ascii="Verdana" w:hAnsi="Verdana"/>
          <w:i/>
          <w:iCs/>
          <w:color w:val="333333"/>
          <w:sz w:val="21"/>
          <w:szCs w:val="21"/>
        </w:rPr>
        <w:t>pyogenes</w:t>
      </w:r>
      <w:proofErr w:type="spellEnd"/>
      <w:r>
        <w:rPr>
          <w:rFonts w:ascii="Verdana" w:hAnsi="Verdana"/>
          <w:color w:val="333333"/>
          <w:sz w:val="21"/>
          <w:szCs w:val="21"/>
        </w:rPr>
        <w:t> – patogenów dominujących w </w:t>
      </w:r>
      <w:proofErr w:type="spellStart"/>
      <w:r>
        <w:rPr>
          <w:rFonts w:ascii="Verdana" w:hAnsi="Verdana"/>
          <w:color w:val="333333"/>
          <w:sz w:val="21"/>
          <w:szCs w:val="21"/>
        </w:rPr>
        <w:t>nadkażeniach</w:t>
      </w:r>
      <w:proofErr w:type="spellEnd"/>
      <w:r>
        <w:rPr>
          <w:rFonts w:ascii="Verdana" w:hAnsi="Verdana"/>
          <w:color w:val="333333"/>
          <w:sz w:val="21"/>
          <w:szCs w:val="21"/>
        </w:rPr>
        <w:t xml:space="preserve"> towarzyszących grypie. Choć zdaniem autorów cytowanej metaanalizy potrzebne są dalsze badania nad zakażeniami bakteryjnymi w przebiegu COVID-19, to jednak nie ma wskazań do stosowania profilaktycznej antybiotykoterapii u chorych na COVID-19, jeśli się nie stwierdza towarzyszącego zakażenia bakteryjnego. Nie wykazano również żadnych korzyści z podawania chorym na COVID-19 </w:t>
      </w:r>
      <w:proofErr w:type="spellStart"/>
      <w:r>
        <w:rPr>
          <w:rFonts w:ascii="Verdana" w:hAnsi="Verdana"/>
          <w:color w:val="333333"/>
          <w:sz w:val="21"/>
          <w:szCs w:val="21"/>
        </w:rPr>
        <w:t>azytromycyny</w:t>
      </w:r>
      <w:proofErr w:type="spellEnd"/>
      <w:r>
        <w:rPr>
          <w:rFonts w:ascii="Verdana" w:hAnsi="Verdana"/>
          <w:color w:val="333333"/>
          <w:sz w:val="21"/>
          <w:szCs w:val="21"/>
        </w:rPr>
        <w:t xml:space="preserve"> (stosowanej razem </w:t>
      </w:r>
      <w:proofErr w:type="spellStart"/>
      <w:r>
        <w:rPr>
          <w:rFonts w:ascii="Verdana" w:hAnsi="Verdana"/>
          <w:color w:val="333333"/>
          <w:sz w:val="21"/>
          <w:szCs w:val="21"/>
        </w:rPr>
        <w:t>hydroksychlorochiną</w:t>
      </w:r>
      <w:proofErr w:type="spellEnd"/>
      <w:r>
        <w:rPr>
          <w:rFonts w:ascii="Verdana" w:hAnsi="Verdana"/>
          <w:color w:val="333333"/>
          <w:sz w:val="21"/>
          <w:szCs w:val="21"/>
        </w:rPr>
        <w:t xml:space="preserve"> lub w </w:t>
      </w:r>
      <w:proofErr w:type="spellStart"/>
      <w:r>
        <w:rPr>
          <w:rFonts w:ascii="Verdana" w:hAnsi="Verdana"/>
          <w:color w:val="333333"/>
          <w:sz w:val="21"/>
          <w:szCs w:val="21"/>
        </w:rPr>
        <w:t>monoterapii</w:t>
      </w:r>
      <w:proofErr w:type="spellEnd"/>
      <w:r>
        <w:rPr>
          <w:rFonts w:ascii="Verdana" w:hAnsi="Verdana"/>
          <w:color w:val="333333"/>
          <w:sz w:val="21"/>
          <w:szCs w:val="21"/>
        </w:rPr>
        <w:t xml:space="preserve">), aczkolwiek badania dotyczyły jej skuteczności w leczeniu COVID-19 a nie </w:t>
      </w:r>
      <w:proofErr w:type="spellStart"/>
      <w:r>
        <w:rPr>
          <w:rFonts w:ascii="Verdana" w:hAnsi="Verdana"/>
          <w:color w:val="333333"/>
          <w:sz w:val="21"/>
          <w:szCs w:val="21"/>
        </w:rPr>
        <w:t>nadkażeń</w:t>
      </w:r>
      <w:proofErr w:type="spellEnd"/>
      <w:r>
        <w:rPr>
          <w:rFonts w:ascii="Verdana" w:hAnsi="Verdana"/>
          <w:color w:val="333333"/>
          <w:sz w:val="21"/>
          <w:szCs w:val="21"/>
        </w:rPr>
        <w:t xml:space="preserve"> bakteryjnych. W razie wskazań należy się kierować w wyborze antybiotyku ogólnymi zasadami i wytycznymi dotyczącymi racjonalnej antybiotykoterapii.</w:t>
      </w:r>
    </w:p>
    <w:p w:rsidR="00553C9C" w:rsidRDefault="00553C9C" w:rsidP="00553C9C">
      <w:pPr>
        <w:pStyle w:val="NormalnyWeb"/>
        <w:shd w:val="clear" w:color="auto" w:fill="FFFFFF"/>
        <w:rPr>
          <w:rFonts w:ascii="Verdana" w:hAnsi="Verdana"/>
          <w:color w:val="333333"/>
          <w:sz w:val="21"/>
          <w:szCs w:val="21"/>
        </w:rPr>
      </w:pPr>
      <w:r>
        <w:rPr>
          <w:rFonts w:ascii="Verdana" w:hAnsi="Verdana"/>
          <w:color w:val="333333"/>
          <w:sz w:val="21"/>
          <w:szCs w:val="21"/>
        </w:rPr>
        <w:t xml:space="preserve">Antybiotyk należy zastosować w razie podejrzenia lub rozpoznania </w:t>
      </w:r>
      <w:proofErr w:type="spellStart"/>
      <w:r>
        <w:rPr>
          <w:rFonts w:ascii="Verdana" w:hAnsi="Verdana"/>
          <w:color w:val="333333"/>
          <w:sz w:val="21"/>
          <w:szCs w:val="21"/>
        </w:rPr>
        <w:t>nadkażenia</w:t>
      </w:r>
      <w:proofErr w:type="spellEnd"/>
      <w:r>
        <w:rPr>
          <w:rFonts w:ascii="Verdana" w:hAnsi="Verdana"/>
          <w:color w:val="333333"/>
          <w:sz w:val="21"/>
          <w:szCs w:val="21"/>
        </w:rPr>
        <w:t xml:space="preserve"> bakteryjnego (np. gdy chory ponownie zagorączkuje, pogorszy się jego stan kliniczny mimo poprzedniej poprawy, a w badaniach obrazowych pojawią się nowe zmiany) bądź gdy wystąpią objawy zakażenia towarzyszącego, na przykład układu moczowego. Niestety w COVID-19 wyniki oznaczeń białka C-reaktywnego (CRP) i </w:t>
      </w:r>
      <w:proofErr w:type="spellStart"/>
      <w:r>
        <w:rPr>
          <w:rFonts w:ascii="Verdana" w:hAnsi="Verdana"/>
          <w:color w:val="333333"/>
          <w:sz w:val="21"/>
          <w:szCs w:val="21"/>
        </w:rPr>
        <w:t>prokalcytoniny</w:t>
      </w:r>
      <w:proofErr w:type="spellEnd"/>
      <w:r>
        <w:rPr>
          <w:rFonts w:ascii="Verdana" w:hAnsi="Verdana"/>
          <w:color w:val="333333"/>
          <w:sz w:val="21"/>
          <w:szCs w:val="21"/>
        </w:rPr>
        <w:t xml:space="preserve"> (PCT) w surowicy są trudne do interpretacji, ponieważ ich stężenia zwiększają się wraz z progresją choroby i narastaniem burzy cytokinowej, osiągając niekiedy bardzo duże wartości (co jest wynikiem zjawisk patofizjologicznych zachodzących w przebiegu zakażenia SARS-CoV-2, a nie zakażenia bakteryjnego). Szczególnie trudna jest ich ocena u chorych z ciężką postacią COVID-19, zwłaszcza jeśli się bazuje tylko na jednym oznaczeniu. Nie należy wdrażać antybiotykoterapii tylko ze względu na duże (nawet trzycyfrowe) stężenie CRP, jeśli nie ma innych wykładników zakażenia bakteryjnego.</w:t>
      </w:r>
    </w:p>
    <w:p w:rsidR="00553C9C" w:rsidRDefault="00553C9C" w:rsidP="00553C9C">
      <w:pPr>
        <w:pStyle w:val="NormalnyWeb"/>
        <w:shd w:val="clear" w:color="auto" w:fill="FFFFFF"/>
        <w:rPr>
          <w:rFonts w:ascii="Verdana" w:hAnsi="Verdana"/>
          <w:color w:val="333333"/>
          <w:sz w:val="21"/>
          <w:szCs w:val="21"/>
        </w:rPr>
      </w:pPr>
      <w:r>
        <w:rPr>
          <w:rFonts w:ascii="Verdana" w:hAnsi="Verdana"/>
          <w:color w:val="333333"/>
          <w:sz w:val="21"/>
          <w:szCs w:val="21"/>
        </w:rPr>
        <w:lastRenderedPageBreak/>
        <w:t xml:space="preserve">Jeśli jednak się odnotuje zmniejszenie, a następnie ponownie zwiększenie stężenia CRP lub PCT albo gdy stężenie PCT jest duże, mimo że pacjent ma łagodną postać COVID-19 i nie ma innych wykładników rozwijającej się burzy cytokinowej, należy podejrzewać zakażenie bakteryjne. Pomocne może być też określenie bezwzględnej liczby neutrofilów. W samym zakażeniu SARS-CoV-2 nie ulega ona zwiększeniu, natomiast przekroczenie górnej granicy normy może wskazywać na </w:t>
      </w:r>
      <w:proofErr w:type="spellStart"/>
      <w:r>
        <w:rPr>
          <w:rFonts w:ascii="Verdana" w:hAnsi="Verdana"/>
          <w:color w:val="333333"/>
          <w:sz w:val="21"/>
          <w:szCs w:val="21"/>
        </w:rPr>
        <w:t>nadkażenie</w:t>
      </w:r>
      <w:proofErr w:type="spellEnd"/>
      <w:r>
        <w:rPr>
          <w:rFonts w:ascii="Verdana" w:hAnsi="Verdana"/>
          <w:color w:val="333333"/>
          <w:sz w:val="21"/>
          <w:szCs w:val="21"/>
        </w:rPr>
        <w:t xml:space="preserve"> bakteryjne. Ostrożnie należy natomiast oceniać wartość odsetkową neutrofilów, ponieważ może być zawyżona z powodu częstej limfopenii, szczególnie w COVID-19 o ciężkim przebiegu.</w:t>
      </w:r>
    </w:p>
    <w:p w:rsidR="00553C9C" w:rsidRDefault="00553C9C" w:rsidP="00553C9C">
      <w:pPr>
        <w:pStyle w:val="NormalnyWeb"/>
        <w:shd w:val="clear" w:color="auto" w:fill="FFFFFF"/>
        <w:rPr>
          <w:rFonts w:ascii="Verdana" w:hAnsi="Verdana"/>
          <w:color w:val="333333"/>
          <w:sz w:val="21"/>
          <w:szCs w:val="21"/>
        </w:rPr>
      </w:pPr>
      <w:r>
        <w:rPr>
          <w:rFonts w:ascii="Verdana" w:hAnsi="Verdana"/>
          <w:color w:val="333333"/>
          <w:sz w:val="21"/>
          <w:szCs w:val="21"/>
        </w:rPr>
        <w:t xml:space="preserve">Ponieważ obraz kliniczny COVID-19 może być trudny do odróżnienia od bakteryjnego zapalenia płuc, leczenie empiryczne </w:t>
      </w:r>
      <w:proofErr w:type="spellStart"/>
      <w:r>
        <w:rPr>
          <w:rFonts w:ascii="Verdana" w:hAnsi="Verdana"/>
          <w:color w:val="333333"/>
          <w:sz w:val="21"/>
          <w:szCs w:val="21"/>
        </w:rPr>
        <w:t>pozaszpitalnego</w:t>
      </w:r>
      <w:proofErr w:type="spellEnd"/>
      <w:r>
        <w:rPr>
          <w:rFonts w:ascii="Verdana" w:hAnsi="Verdana"/>
          <w:color w:val="333333"/>
          <w:sz w:val="21"/>
          <w:szCs w:val="21"/>
        </w:rPr>
        <w:t xml:space="preserve"> zapalenia płuc jest uzasadnione w sytuacjach, gdy rozpoznanie jest niepewne i istnieje mocne podejrzenie </w:t>
      </w:r>
      <w:proofErr w:type="spellStart"/>
      <w:r>
        <w:rPr>
          <w:rFonts w:ascii="Verdana" w:hAnsi="Verdana"/>
          <w:color w:val="333333"/>
          <w:sz w:val="21"/>
          <w:szCs w:val="21"/>
        </w:rPr>
        <w:t>nadkażenia</w:t>
      </w:r>
      <w:proofErr w:type="spellEnd"/>
      <w:r>
        <w:rPr>
          <w:rFonts w:ascii="Verdana" w:hAnsi="Verdana"/>
          <w:color w:val="333333"/>
          <w:sz w:val="21"/>
          <w:szCs w:val="21"/>
        </w:rPr>
        <w:t xml:space="preserve"> bakteryjnego. Powinno się jednak przeprowadzić diagnostykę różnicową z wykonaniem badań pomocniczych, o co trudno u chorych na COVID-19 leczonych w warunkach domowych. Uważamy, że nie powinno się podawać </w:t>
      </w:r>
      <w:proofErr w:type="spellStart"/>
      <w:r>
        <w:rPr>
          <w:rFonts w:ascii="Verdana" w:hAnsi="Verdana"/>
          <w:color w:val="333333"/>
          <w:sz w:val="21"/>
          <w:szCs w:val="21"/>
        </w:rPr>
        <w:t>azytromycyny</w:t>
      </w:r>
      <w:proofErr w:type="spellEnd"/>
      <w:r>
        <w:rPr>
          <w:rFonts w:ascii="Verdana" w:hAnsi="Verdana"/>
          <w:color w:val="333333"/>
          <w:sz w:val="21"/>
          <w:szCs w:val="21"/>
        </w:rPr>
        <w:t xml:space="preserve"> ani innych antybiotyków „na wszelki wypadek”, co niestety jest dość często praktykowane. Objawy zapalenia zatok przynosowych w COVID-19 zwykle nie wynikają z </w:t>
      </w:r>
      <w:proofErr w:type="spellStart"/>
      <w:r>
        <w:rPr>
          <w:rFonts w:ascii="Verdana" w:hAnsi="Verdana"/>
          <w:color w:val="333333"/>
          <w:sz w:val="21"/>
          <w:szCs w:val="21"/>
        </w:rPr>
        <w:t>nadkażenia</w:t>
      </w:r>
      <w:proofErr w:type="spellEnd"/>
      <w:r>
        <w:rPr>
          <w:rFonts w:ascii="Verdana" w:hAnsi="Verdana"/>
          <w:color w:val="333333"/>
          <w:sz w:val="21"/>
          <w:szCs w:val="21"/>
        </w:rPr>
        <w:t xml:space="preserve"> bakteryjnego, ale należą do obrazu klinicznego zakażenia SARS-CoV-2.</w:t>
      </w:r>
    </w:p>
    <w:p w:rsidR="00553C9C" w:rsidRDefault="00553C9C" w:rsidP="00553C9C">
      <w:pPr>
        <w:pStyle w:val="NormalnyWeb"/>
        <w:shd w:val="clear" w:color="auto" w:fill="FFFFFF"/>
        <w:rPr>
          <w:rFonts w:ascii="Verdana" w:hAnsi="Verdana"/>
          <w:color w:val="333333"/>
          <w:sz w:val="21"/>
          <w:szCs w:val="21"/>
        </w:rPr>
      </w:pPr>
      <w:r>
        <w:rPr>
          <w:rFonts w:ascii="Verdana" w:hAnsi="Verdana"/>
          <w:color w:val="333333"/>
          <w:sz w:val="21"/>
          <w:szCs w:val="21"/>
        </w:rPr>
        <w:t>W przypadku pacjentów hospitalizowanych przez ≥48 godzin, szczególnie na OIT i wentylowanych mechanicznie, należy postępować jak w przypadku zakażeń szpitalnych, w tym podejrzenia zapalenia płuc związanego z wentylacją mechaniczną. W razie podejrzenia współistnienia bakteryjnego zapalenia płuc należy dążyć do ustalenia czynnika etiologicznego, szczególnie u pacjentów leczonych w szpitalu, i skorygować stosowaną antybiotykoterapię po otrzymaniu wyniku posiewu z antybiogramem.</w:t>
      </w:r>
    </w:p>
    <w:p w:rsidR="00553C9C" w:rsidRDefault="00553C9C" w:rsidP="00553C9C">
      <w:pPr>
        <w:pStyle w:val="NormalnyWeb"/>
        <w:shd w:val="clear" w:color="auto" w:fill="FFFFFF"/>
        <w:rPr>
          <w:rFonts w:ascii="Verdana" w:hAnsi="Verdana"/>
          <w:color w:val="333333"/>
          <w:sz w:val="21"/>
          <w:szCs w:val="21"/>
        </w:rPr>
      </w:pPr>
      <w:r>
        <w:rPr>
          <w:rFonts w:ascii="Verdana" w:hAnsi="Verdana"/>
          <w:color w:val="333333"/>
          <w:sz w:val="21"/>
          <w:szCs w:val="21"/>
        </w:rPr>
        <w:t xml:space="preserve">Eksperci </w:t>
      </w:r>
      <w:proofErr w:type="spellStart"/>
      <w:r>
        <w:rPr>
          <w:rFonts w:ascii="Verdana" w:hAnsi="Verdana"/>
          <w:color w:val="333333"/>
          <w:sz w:val="21"/>
          <w:szCs w:val="21"/>
        </w:rPr>
        <w:t>PTEiLChZ</w:t>
      </w:r>
      <w:proofErr w:type="spellEnd"/>
      <w:r>
        <w:rPr>
          <w:rFonts w:ascii="Verdana" w:hAnsi="Verdana"/>
          <w:color w:val="333333"/>
          <w:sz w:val="21"/>
          <w:szCs w:val="21"/>
        </w:rPr>
        <w:t xml:space="preserve"> nie zalecają stosowania antybiotykoterapii w stadiach 1–3 COVID-19, chyba że jest to uzasadnione współwystępowaniem zakażenia bakteryjnego. W stadium 4 (ARDS) często się wdraża antybiotykoterapię, ponieważ trudno jednoznacznie wykluczyć współistnienie zakażenia bakteryjnego, ale i u tych chorych nie powinno to być postępowanie rutynowe.</w:t>
      </w:r>
    </w:p>
    <w:p w:rsidR="00553C9C" w:rsidRDefault="00553C9C" w:rsidP="00553C9C">
      <w:pPr>
        <w:pStyle w:val="Nagwek4"/>
        <w:shd w:val="clear" w:color="auto" w:fill="FFFFFF"/>
        <w:spacing w:before="0" w:after="150"/>
        <w:rPr>
          <w:rFonts w:ascii="Times New Roman" w:hAnsi="Times New Roman"/>
          <w:color w:val="000000"/>
          <w:sz w:val="24"/>
          <w:szCs w:val="24"/>
        </w:rPr>
      </w:pPr>
      <w:r>
        <w:rPr>
          <w:color w:val="000000"/>
        </w:rPr>
        <w:t>Piśmiennictwo:</w:t>
      </w:r>
    </w:p>
    <w:p w:rsidR="0003455B" w:rsidRDefault="0003455B" w:rsidP="0003455B">
      <w:pPr>
        <w:pStyle w:val="Nagwek4"/>
        <w:spacing w:before="0" w:after="150"/>
        <w:rPr>
          <w:rFonts w:ascii="Arial" w:hAnsi="Arial" w:cs="Arial"/>
          <w:color w:val="000000"/>
          <w:shd w:val="clear" w:color="auto" w:fill="FFFFFF"/>
        </w:rPr>
      </w:pPr>
      <w:r>
        <w:rPr>
          <w:rFonts w:ascii="Arial" w:hAnsi="Arial" w:cs="Arial"/>
          <w:color w:val="000000"/>
          <w:shd w:val="clear" w:color="auto" w:fill="FFFFFF"/>
        </w:rPr>
        <w:t>Piśmiennictwo:</w:t>
      </w:r>
    </w:p>
    <w:p w:rsidR="00496D5F" w:rsidRDefault="0003455B" w:rsidP="0003455B">
      <w:r>
        <w:rPr>
          <w:rFonts w:ascii="Arial" w:hAnsi="Arial" w:cs="Arial"/>
          <w:b/>
          <w:bCs/>
          <w:color w:val="777777"/>
          <w:sz w:val="15"/>
          <w:szCs w:val="15"/>
          <w:shd w:val="clear" w:color="auto" w:fill="FFFFFF"/>
        </w:rPr>
        <w:t>1</w:t>
      </w:r>
      <w:bookmarkStart w:id="0" w:name="_GoBack"/>
      <w:bookmarkEnd w:id="0"/>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Flisiak</w:t>
      </w:r>
      <w:proofErr w:type="spellEnd"/>
      <w:r>
        <w:rPr>
          <w:rFonts w:ascii="Arial" w:hAnsi="Arial" w:cs="Arial"/>
          <w:b/>
          <w:bCs/>
          <w:color w:val="777777"/>
          <w:sz w:val="15"/>
          <w:szCs w:val="15"/>
          <w:shd w:val="clear" w:color="auto" w:fill="FFFFFF"/>
        </w:rPr>
        <w:t xml:space="preserve"> R., Parczewski M., </w:t>
      </w:r>
      <w:proofErr w:type="spellStart"/>
      <w:r>
        <w:rPr>
          <w:rFonts w:ascii="Arial" w:hAnsi="Arial" w:cs="Arial"/>
          <w:b/>
          <w:bCs/>
          <w:color w:val="777777"/>
          <w:sz w:val="15"/>
          <w:szCs w:val="15"/>
          <w:shd w:val="clear" w:color="auto" w:fill="FFFFFF"/>
        </w:rPr>
        <w:t>Horban</w:t>
      </w:r>
      <w:proofErr w:type="spellEnd"/>
      <w:r>
        <w:rPr>
          <w:rFonts w:ascii="Arial" w:hAnsi="Arial" w:cs="Arial"/>
          <w:b/>
          <w:bCs/>
          <w:color w:val="777777"/>
          <w:sz w:val="15"/>
          <w:szCs w:val="15"/>
          <w:shd w:val="clear" w:color="auto" w:fill="FFFFFF"/>
        </w:rPr>
        <w:t xml:space="preserve"> A. i </w:t>
      </w:r>
      <w:proofErr w:type="spellStart"/>
      <w:r>
        <w:rPr>
          <w:rFonts w:ascii="Arial" w:hAnsi="Arial" w:cs="Arial"/>
          <w:b/>
          <w:bCs/>
          <w:color w:val="777777"/>
          <w:sz w:val="15"/>
          <w:szCs w:val="15"/>
          <w:shd w:val="clear" w:color="auto" w:fill="FFFFFF"/>
        </w:rPr>
        <w:t>wsp</w:t>
      </w:r>
      <w:proofErr w:type="spellEnd"/>
      <w:r>
        <w:rPr>
          <w:rFonts w:ascii="Arial" w:hAnsi="Arial" w:cs="Arial"/>
          <w:b/>
          <w:bCs/>
          <w:color w:val="777777"/>
          <w:sz w:val="15"/>
          <w:szCs w:val="15"/>
          <w:shd w:val="clear" w:color="auto" w:fill="FFFFFF"/>
        </w:rPr>
        <w:t>.: Zalecenia diagnostyki i terapii zakażeń SARS-CoV-2 Polskiego Towarzystwa Epidemiologów i Lekarzy Chorób Zakaźnych (13.10.2020). https://www.mp.pl/covid19/zalecenia/248 659,zalecenia-diagnostyki-i-terapii-zakazen-sars-cov-2-polskiego-towarzystwa-epidemiologow-i-lekarzy-chorob-zakaznych (dostęp: 30.10.2020)</w:t>
      </w:r>
      <w:r>
        <w:rPr>
          <w:rFonts w:ascii="Arial" w:hAnsi="Arial" w:cs="Arial"/>
          <w:b/>
          <w:bCs/>
          <w:color w:val="777777"/>
          <w:sz w:val="15"/>
          <w:szCs w:val="15"/>
        </w:rPr>
        <w:br/>
      </w:r>
      <w:r>
        <w:rPr>
          <w:rFonts w:ascii="Arial" w:hAnsi="Arial" w:cs="Arial"/>
          <w:b/>
          <w:bCs/>
          <w:color w:val="777777"/>
          <w:sz w:val="15"/>
          <w:szCs w:val="15"/>
          <w:shd w:val="clear" w:color="auto" w:fill="FFFFFF"/>
        </w:rPr>
        <w:t xml:space="preserve">2. </w:t>
      </w:r>
      <w:proofErr w:type="spellStart"/>
      <w:r>
        <w:rPr>
          <w:rFonts w:ascii="Arial" w:hAnsi="Arial" w:cs="Arial"/>
          <w:b/>
          <w:bCs/>
          <w:color w:val="777777"/>
          <w:sz w:val="15"/>
          <w:szCs w:val="15"/>
          <w:shd w:val="clear" w:color="auto" w:fill="FFFFFF"/>
        </w:rPr>
        <w:t>National</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Health</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Institutes</w:t>
      </w:r>
      <w:proofErr w:type="spellEnd"/>
      <w:r>
        <w:rPr>
          <w:rFonts w:ascii="Arial" w:hAnsi="Arial" w:cs="Arial"/>
          <w:b/>
          <w:bCs/>
          <w:color w:val="777777"/>
          <w:sz w:val="15"/>
          <w:szCs w:val="15"/>
          <w:shd w:val="clear" w:color="auto" w:fill="FFFFFF"/>
        </w:rPr>
        <w:t xml:space="preserve">: COVID-19 </w:t>
      </w:r>
      <w:proofErr w:type="spellStart"/>
      <w:r>
        <w:rPr>
          <w:rFonts w:ascii="Arial" w:hAnsi="Arial" w:cs="Arial"/>
          <w:b/>
          <w:bCs/>
          <w:color w:val="777777"/>
          <w:sz w:val="15"/>
          <w:szCs w:val="15"/>
          <w:shd w:val="clear" w:color="auto" w:fill="FFFFFF"/>
        </w:rPr>
        <w:t>treatment</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guidelines</w:t>
      </w:r>
      <w:proofErr w:type="spellEnd"/>
      <w:r>
        <w:rPr>
          <w:rFonts w:ascii="Arial" w:hAnsi="Arial" w:cs="Arial"/>
          <w:b/>
          <w:bCs/>
          <w:color w:val="777777"/>
          <w:sz w:val="15"/>
          <w:szCs w:val="15"/>
          <w:shd w:val="clear" w:color="auto" w:fill="FFFFFF"/>
        </w:rPr>
        <w:t>. https://covid19treatmentguidelines. nih.gov/ (dostęp: 30.10.2020)</w:t>
      </w:r>
      <w:r>
        <w:rPr>
          <w:rFonts w:ascii="Arial" w:hAnsi="Arial" w:cs="Arial"/>
          <w:b/>
          <w:bCs/>
          <w:color w:val="777777"/>
          <w:sz w:val="15"/>
          <w:szCs w:val="15"/>
        </w:rPr>
        <w:br/>
      </w:r>
      <w:r>
        <w:rPr>
          <w:rFonts w:ascii="Arial" w:hAnsi="Arial" w:cs="Arial"/>
          <w:b/>
          <w:bCs/>
          <w:color w:val="777777"/>
          <w:sz w:val="15"/>
          <w:szCs w:val="15"/>
          <w:shd w:val="clear" w:color="auto" w:fill="FFFFFF"/>
        </w:rPr>
        <w:t xml:space="preserve">3. </w:t>
      </w:r>
      <w:proofErr w:type="spellStart"/>
      <w:r>
        <w:rPr>
          <w:rFonts w:ascii="Arial" w:hAnsi="Arial" w:cs="Arial"/>
          <w:b/>
          <w:bCs/>
          <w:color w:val="777777"/>
          <w:sz w:val="15"/>
          <w:szCs w:val="15"/>
          <w:shd w:val="clear" w:color="auto" w:fill="FFFFFF"/>
        </w:rPr>
        <w:t>Lamontagne</w:t>
      </w:r>
      <w:proofErr w:type="spellEnd"/>
      <w:r>
        <w:rPr>
          <w:rFonts w:ascii="Arial" w:hAnsi="Arial" w:cs="Arial"/>
          <w:b/>
          <w:bCs/>
          <w:color w:val="777777"/>
          <w:sz w:val="15"/>
          <w:szCs w:val="15"/>
          <w:shd w:val="clear" w:color="auto" w:fill="FFFFFF"/>
        </w:rPr>
        <w:t xml:space="preserve"> F., </w:t>
      </w:r>
      <w:proofErr w:type="spellStart"/>
      <w:r>
        <w:rPr>
          <w:rFonts w:ascii="Arial" w:hAnsi="Arial" w:cs="Arial"/>
          <w:b/>
          <w:bCs/>
          <w:color w:val="777777"/>
          <w:sz w:val="15"/>
          <w:szCs w:val="15"/>
          <w:shd w:val="clear" w:color="auto" w:fill="FFFFFF"/>
        </w:rPr>
        <w:t>Agoritsas</w:t>
      </w:r>
      <w:proofErr w:type="spellEnd"/>
      <w:r>
        <w:rPr>
          <w:rFonts w:ascii="Arial" w:hAnsi="Arial" w:cs="Arial"/>
          <w:b/>
          <w:bCs/>
          <w:color w:val="777777"/>
          <w:sz w:val="15"/>
          <w:szCs w:val="15"/>
          <w:shd w:val="clear" w:color="auto" w:fill="FFFFFF"/>
        </w:rPr>
        <w:t xml:space="preserve"> T., </w:t>
      </w:r>
      <w:proofErr w:type="spellStart"/>
      <w:r>
        <w:rPr>
          <w:rFonts w:ascii="Arial" w:hAnsi="Arial" w:cs="Arial"/>
          <w:b/>
          <w:bCs/>
          <w:color w:val="777777"/>
          <w:sz w:val="15"/>
          <w:szCs w:val="15"/>
          <w:shd w:val="clear" w:color="auto" w:fill="FFFFFF"/>
        </w:rPr>
        <w:t>Macdonald</w:t>
      </w:r>
      <w:proofErr w:type="spellEnd"/>
      <w:r>
        <w:rPr>
          <w:rFonts w:ascii="Arial" w:hAnsi="Arial" w:cs="Arial"/>
          <w:b/>
          <w:bCs/>
          <w:color w:val="777777"/>
          <w:sz w:val="15"/>
          <w:szCs w:val="15"/>
          <w:shd w:val="clear" w:color="auto" w:fill="FFFFFF"/>
        </w:rPr>
        <w:t xml:space="preserve"> H. i </w:t>
      </w:r>
      <w:proofErr w:type="spellStart"/>
      <w:r>
        <w:rPr>
          <w:rFonts w:ascii="Arial" w:hAnsi="Arial" w:cs="Arial"/>
          <w:b/>
          <w:bCs/>
          <w:color w:val="777777"/>
          <w:sz w:val="15"/>
          <w:szCs w:val="15"/>
          <w:shd w:val="clear" w:color="auto" w:fill="FFFFFF"/>
        </w:rPr>
        <w:t>wsp</w:t>
      </w:r>
      <w:proofErr w:type="spellEnd"/>
      <w:r>
        <w:rPr>
          <w:rFonts w:ascii="Arial" w:hAnsi="Arial" w:cs="Arial"/>
          <w:b/>
          <w:bCs/>
          <w:color w:val="777777"/>
          <w:sz w:val="15"/>
          <w:szCs w:val="15"/>
          <w:shd w:val="clear" w:color="auto" w:fill="FFFFFF"/>
        </w:rPr>
        <w:t>. A </w:t>
      </w:r>
      <w:proofErr w:type="spellStart"/>
      <w:r>
        <w:rPr>
          <w:rFonts w:ascii="Arial" w:hAnsi="Arial" w:cs="Arial"/>
          <w:b/>
          <w:bCs/>
          <w:color w:val="777777"/>
          <w:sz w:val="15"/>
          <w:szCs w:val="15"/>
          <w:shd w:val="clear" w:color="auto" w:fill="FFFFFF"/>
        </w:rPr>
        <w:t>living</w:t>
      </w:r>
      <w:proofErr w:type="spellEnd"/>
      <w:r>
        <w:rPr>
          <w:rFonts w:ascii="Arial" w:hAnsi="Arial" w:cs="Arial"/>
          <w:b/>
          <w:bCs/>
          <w:color w:val="777777"/>
          <w:sz w:val="15"/>
          <w:szCs w:val="15"/>
          <w:shd w:val="clear" w:color="auto" w:fill="FFFFFF"/>
        </w:rPr>
        <w:t xml:space="preserve"> WHO </w:t>
      </w:r>
      <w:proofErr w:type="spellStart"/>
      <w:r>
        <w:rPr>
          <w:rFonts w:ascii="Arial" w:hAnsi="Arial" w:cs="Arial"/>
          <w:b/>
          <w:bCs/>
          <w:color w:val="777777"/>
          <w:sz w:val="15"/>
          <w:szCs w:val="15"/>
          <w:shd w:val="clear" w:color="auto" w:fill="FFFFFF"/>
        </w:rPr>
        <w:t>guideline</w:t>
      </w:r>
      <w:proofErr w:type="spellEnd"/>
      <w:r>
        <w:rPr>
          <w:rFonts w:ascii="Arial" w:hAnsi="Arial" w:cs="Arial"/>
          <w:b/>
          <w:bCs/>
          <w:color w:val="777777"/>
          <w:sz w:val="15"/>
          <w:szCs w:val="15"/>
          <w:shd w:val="clear" w:color="auto" w:fill="FFFFFF"/>
        </w:rPr>
        <w:t xml:space="preserve"> on </w:t>
      </w:r>
      <w:proofErr w:type="spellStart"/>
      <w:r>
        <w:rPr>
          <w:rFonts w:ascii="Arial" w:hAnsi="Arial" w:cs="Arial"/>
          <w:b/>
          <w:bCs/>
          <w:color w:val="777777"/>
          <w:sz w:val="15"/>
          <w:szCs w:val="15"/>
          <w:shd w:val="clear" w:color="auto" w:fill="FFFFFF"/>
        </w:rPr>
        <w:t>drugs</w:t>
      </w:r>
      <w:proofErr w:type="spellEnd"/>
      <w:r>
        <w:rPr>
          <w:rFonts w:ascii="Arial" w:hAnsi="Arial" w:cs="Arial"/>
          <w:b/>
          <w:bCs/>
          <w:color w:val="777777"/>
          <w:sz w:val="15"/>
          <w:szCs w:val="15"/>
          <w:shd w:val="clear" w:color="auto" w:fill="FFFFFF"/>
        </w:rPr>
        <w:t xml:space="preserve"> for covid-19. BMJ, 2020; 370: m3379</w:t>
      </w:r>
      <w:r>
        <w:rPr>
          <w:rFonts w:ascii="Arial" w:hAnsi="Arial" w:cs="Arial"/>
          <w:b/>
          <w:bCs/>
          <w:color w:val="777777"/>
          <w:sz w:val="15"/>
          <w:szCs w:val="15"/>
        </w:rPr>
        <w:br/>
      </w:r>
      <w:r>
        <w:rPr>
          <w:rFonts w:ascii="Arial" w:hAnsi="Arial" w:cs="Arial"/>
          <w:b/>
          <w:bCs/>
          <w:color w:val="777777"/>
          <w:sz w:val="15"/>
          <w:szCs w:val="15"/>
          <w:shd w:val="clear" w:color="auto" w:fill="FFFFFF"/>
        </w:rPr>
        <w:t xml:space="preserve">4. World </w:t>
      </w:r>
      <w:proofErr w:type="spellStart"/>
      <w:r>
        <w:rPr>
          <w:rFonts w:ascii="Arial" w:hAnsi="Arial" w:cs="Arial"/>
          <w:b/>
          <w:bCs/>
          <w:color w:val="777777"/>
          <w:sz w:val="15"/>
          <w:szCs w:val="15"/>
          <w:shd w:val="clear" w:color="auto" w:fill="FFFFFF"/>
        </w:rPr>
        <w:t>Health</w:t>
      </w:r>
      <w:proofErr w:type="spellEnd"/>
      <w:r>
        <w:rPr>
          <w:rFonts w:ascii="Arial" w:hAnsi="Arial" w:cs="Arial"/>
          <w:b/>
          <w:bCs/>
          <w:color w:val="777777"/>
          <w:sz w:val="15"/>
          <w:szCs w:val="15"/>
          <w:shd w:val="clear" w:color="auto" w:fill="FFFFFF"/>
        </w:rPr>
        <w:t xml:space="preserve"> Organization: </w:t>
      </w:r>
      <w:proofErr w:type="spellStart"/>
      <w:r>
        <w:rPr>
          <w:rFonts w:ascii="Arial" w:hAnsi="Arial" w:cs="Arial"/>
          <w:b/>
          <w:bCs/>
          <w:color w:val="777777"/>
          <w:sz w:val="15"/>
          <w:szCs w:val="15"/>
          <w:shd w:val="clear" w:color="auto" w:fill="FFFFFF"/>
        </w:rPr>
        <w:t>Corticosteroids</w:t>
      </w:r>
      <w:proofErr w:type="spellEnd"/>
      <w:r>
        <w:rPr>
          <w:rFonts w:ascii="Arial" w:hAnsi="Arial" w:cs="Arial"/>
          <w:b/>
          <w:bCs/>
          <w:color w:val="777777"/>
          <w:sz w:val="15"/>
          <w:szCs w:val="15"/>
          <w:shd w:val="clear" w:color="auto" w:fill="FFFFFF"/>
        </w:rPr>
        <w:t xml:space="preserve"> for COVID-19. </w:t>
      </w:r>
      <w:proofErr w:type="spellStart"/>
      <w:r>
        <w:rPr>
          <w:rFonts w:ascii="Arial" w:hAnsi="Arial" w:cs="Arial"/>
          <w:b/>
          <w:bCs/>
          <w:color w:val="777777"/>
          <w:sz w:val="15"/>
          <w:szCs w:val="15"/>
          <w:shd w:val="clear" w:color="auto" w:fill="FFFFFF"/>
        </w:rPr>
        <w:t>Living</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guidance</w:t>
      </w:r>
      <w:proofErr w:type="spellEnd"/>
      <w:r>
        <w:rPr>
          <w:rFonts w:ascii="Arial" w:hAnsi="Arial" w:cs="Arial"/>
          <w:b/>
          <w:bCs/>
          <w:color w:val="777777"/>
          <w:sz w:val="15"/>
          <w:szCs w:val="15"/>
          <w:shd w:val="clear" w:color="auto" w:fill="FFFFFF"/>
        </w:rPr>
        <w:t xml:space="preserve">. 02.09.2020. https://apps.who.int/iris/bitstream/handle/10665/334125/WHO-2019-nCoV-Corticosteroids-2020.1-eng. </w:t>
      </w:r>
      <w:proofErr w:type="spellStart"/>
      <w:r>
        <w:rPr>
          <w:rFonts w:ascii="Arial" w:hAnsi="Arial" w:cs="Arial"/>
          <w:b/>
          <w:bCs/>
          <w:color w:val="777777"/>
          <w:sz w:val="15"/>
          <w:szCs w:val="15"/>
          <w:shd w:val="clear" w:color="auto" w:fill="FFFFFF"/>
        </w:rPr>
        <w:t>pdf?sequence</w:t>
      </w:r>
      <w:proofErr w:type="spellEnd"/>
      <w:r>
        <w:rPr>
          <w:rFonts w:ascii="Arial" w:hAnsi="Arial" w:cs="Arial"/>
          <w:b/>
          <w:bCs/>
          <w:color w:val="777777"/>
          <w:sz w:val="15"/>
          <w:szCs w:val="15"/>
          <w:shd w:val="clear" w:color="auto" w:fill="FFFFFF"/>
        </w:rPr>
        <w:t>=1&amp;isAllowed=y (dostęp: 30.10.2020)</w:t>
      </w:r>
      <w:r>
        <w:rPr>
          <w:rFonts w:ascii="Arial" w:hAnsi="Arial" w:cs="Arial"/>
          <w:b/>
          <w:bCs/>
          <w:color w:val="777777"/>
          <w:sz w:val="15"/>
          <w:szCs w:val="15"/>
        </w:rPr>
        <w:br/>
      </w:r>
      <w:r>
        <w:rPr>
          <w:rFonts w:ascii="Arial" w:hAnsi="Arial" w:cs="Arial"/>
          <w:b/>
          <w:bCs/>
          <w:color w:val="777777"/>
          <w:sz w:val="15"/>
          <w:szCs w:val="15"/>
          <w:shd w:val="clear" w:color="auto" w:fill="FFFFFF"/>
        </w:rPr>
        <w:t xml:space="preserve">5. World </w:t>
      </w:r>
      <w:proofErr w:type="spellStart"/>
      <w:r>
        <w:rPr>
          <w:rFonts w:ascii="Arial" w:hAnsi="Arial" w:cs="Arial"/>
          <w:b/>
          <w:bCs/>
          <w:color w:val="777777"/>
          <w:sz w:val="15"/>
          <w:szCs w:val="15"/>
          <w:shd w:val="clear" w:color="auto" w:fill="FFFFFF"/>
        </w:rPr>
        <w:t>Health</w:t>
      </w:r>
      <w:proofErr w:type="spellEnd"/>
      <w:r>
        <w:rPr>
          <w:rFonts w:ascii="Arial" w:hAnsi="Arial" w:cs="Arial"/>
          <w:b/>
          <w:bCs/>
          <w:color w:val="777777"/>
          <w:sz w:val="15"/>
          <w:szCs w:val="15"/>
          <w:shd w:val="clear" w:color="auto" w:fill="FFFFFF"/>
        </w:rPr>
        <w:t xml:space="preserve"> Organization: </w:t>
      </w:r>
      <w:proofErr w:type="spellStart"/>
      <w:r>
        <w:rPr>
          <w:rFonts w:ascii="Arial" w:hAnsi="Arial" w:cs="Arial"/>
          <w:b/>
          <w:bCs/>
          <w:color w:val="777777"/>
          <w:sz w:val="15"/>
          <w:szCs w:val="15"/>
          <w:shd w:val="clear" w:color="auto" w:fill="FFFFFF"/>
        </w:rPr>
        <w:t>Clinical</w:t>
      </w:r>
      <w:proofErr w:type="spellEnd"/>
      <w:r>
        <w:rPr>
          <w:rFonts w:ascii="Arial" w:hAnsi="Arial" w:cs="Arial"/>
          <w:b/>
          <w:bCs/>
          <w:color w:val="777777"/>
          <w:sz w:val="15"/>
          <w:szCs w:val="15"/>
          <w:shd w:val="clear" w:color="auto" w:fill="FFFFFF"/>
        </w:rPr>
        <w:t xml:space="preserve"> management of COVID-19. Interim </w:t>
      </w:r>
      <w:proofErr w:type="spellStart"/>
      <w:r>
        <w:rPr>
          <w:rFonts w:ascii="Arial" w:hAnsi="Arial" w:cs="Arial"/>
          <w:b/>
          <w:bCs/>
          <w:color w:val="777777"/>
          <w:sz w:val="15"/>
          <w:szCs w:val="15"/>
          <w:shd w:val="clear" w:color="auto" w:fill="FFFFFF"/>
        </w:rPr>
        <w:t>guidance</w:t>
      </w:r>
      <w:proofErr w:type="spellEnd"/>
      <w:r>
        <w:rPr>
          <w:rFonts w:ascii="Arial" w:hAnsi="Arial" w:cs="Arial"/>
          <w:b/>
          <w:bCs/>
          <w:color w:val="777777"/>
          <w:sz w:val="15"/>
          <w:szCs w:val="15"/>
          <w:shd w:val="clear" w:color="auto" w:fill="FFFFFF"/>
        </w:rPr>
        <w:t>. 27.05. 2020. www.who.int/publications/i/item/clinical-management-of-covid-19 (dostęp: 30.10.2020)</w:t>
      </w:r>
      <w:r>
        <w:rPr>
          <w:rFonts w:ascii="Arial" w:hAnsi="Arial" w:cs="Arial"/>
          <w:b/>
          <w:bCs/>
          <w:color w:val="777777"/>
          <w:sz w:val="15"/>
          <w:szCs w:val="15"/>
        </w:rPr>
        <w:br/>
      </w:r>
      <w:r>
        <w:rPr>
          <w:rFonts w:ascii="Arial" w:hAnsi="Arial" w:cs="Arial"/>
          <w:b/>
          <w:bCs/>
          <w:color w:val="777777"/>
          <w:sz w:val="15"/>
          <w:szCs w:val="15"/>
          <w:shd w:val="clear" w:color="auto" w:fill="FFFFFF"/>
        </w:rPr>
        <w:t xml:space="preserve">6. World </w:t>
      </w:r>
      <w:proofErr w:type="spellStart"/>
      <w:r>
        <w:rPr>
          <w:rFonts w:ascii="Arial" w:hAnsi="Arial" w:cs="Arial"/>
          <w:b/>
          <w:bCs/>
          <w:color w:val="777777"/>
          <w:sz w:val="15"/>
          <w:szCs w:val="15"/>
          <w:shd w:val="clear" w:color="auto" w:fill="FFFFFF"/>
        </w:rPr>
        <w:t>Health</w:t>
      </w:r>
      <w:proofErr w:type="spellEnd"/>
      <w:r>
        <w:rPr>
          <w:rFonts w:ascii="Arial" w:hAnsi="Arial" w:cs="Arial"/>
          <w:b/>
          <w:bCs/>
          <w:color w:val="777777"/>
          <w:sz w:val="15"/>
          <w:szCs w:val="15"/>
          <w:shd w:val="clear" w:color="auto" w:fill="FFFFFF"/>
        </w:rPr>
        <w:t xml:space="preserve"> Organization: COVID-19 Virtual Press </w:t>
      </w:r>
      <w:proofErr w:type="spellStart"/>
      <w:r>
        <w:rPr>
          <w:rFonts w:ascii="Arial" w:hAnsi="Arial" w:cs="Arial"/>
          <w:b/>
          <w:bCs/>
          <w:color w:val="777777"/>
          <w:sz w:val="15"/>
          <w:szCs w:val="15"/>
          <w:shd w:val="clear" w:color="auto" w:fill="FFFFFF"/>
        </w:rPr>
        <w:t>conference</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transcript</w:t>
      </w:r>
      <w:proofErr w:type="spellEnd"/>
      <w:r>
        <w:rPr>
          <w:rFonts w:ascii="Arial" w:hAnsi="Arial" w:cs="Arial"/>
          <w:b/>
          <w:bCs/>
          <w:color w:val="777777"/>
          <w:sz w:val="15"/>
          <w:szCs w:val="15"/>
          <w:shd w:val="clear" w:color="auto" w:fill="FFFFFF"/>
        </w:rPr>
        <w:t xml:space="preserve"> – 23 </w:t>
      </w:r>
      <w:proofErr w:type="spellStart"/>
      <w:r>
        <w:rPr>
          <w:rFonts w:ascii="Arial" w:hAnsi="Arial" w:cs="Arial"/>
          <w:b/>
          <w:bCs/>
          <w:color w:val="777777"/>
          <w:sz w:val="15"/>
          <w:szCs w:val="15"/>
          <w:shd w:val="clear" w:color="auto" w:fill="FFFFFF"/>
        </w:rPr>
        <w:t>October</w:t>
      </w:r>
      <w:proofErr w:type="spellEnd"/>
      <w:r>
        <w:rPr>
          <w:rFonts w:ascii="Arial" w:hAnsi="Arial" w:cs="Arial"/>
          <w:b/>
          <w:bCs/>
          <w:color w:val="777777"/>
          <w:sz w:val="15"/>
          <w:szCs w:val="15"/>
          <w:shd w:val="clear" w:color="auto" w:fill="FFFFFF"/>
        </w:rPr>
        <w:t xml:space="preserve"> 2020. Press briefing </w:t>
      </w:r>
      <w:proofErr w:type="spellStart"/>
      <w:r>
        <w:rPr>
          <w:rFonts w:ascii="Arial" w:hAnsi="Arial" w:cs="Arial"/>
          <w:b/>
          <w:bCs/>
          <w:color w:val="777777"/>
          <w:sz w:val="15"/>
          <w:szCs w:val="15"/>
          <w:shd w:val="clear" w:color="auto" w:fill="FFFFFF"/>
        </w:rPr>
        <w:t>transcript</w:t>
      </w:r>
      <w:proofErr w:type="spellEnd"/>
      <w:r>
        <w:rPr>
          <w:rFonts w:ascii="Arial" w:hAnsi="Arial" w:cs="Arial"/>
          <w:b/>
          <w:bCs/>
          <w:color w:val="777777"/>
          <w:sz w:val="15"/>
          <w:szCs w:val="15"/>
          <w:shd w:val="clear" w:color="auto" w:fill="FFFFFF"/>
        </w:rPr>
        <w:t>. www.who.int/publications/m/item/covid-19-virtual-press-conference-transcript–- 23-october-2020 (dostęp 30.10.2020.)</w:t>
      </w:r>
      <w:r>
        <w:rPr>
          <w:rFonts w:ascii="Arial" w:hAnsi="Arial" w:cs="Arial"/>
          <w:b/>
          <w:bCs/>
          <w:color w:val="777777"/>
          <w:sz w:val="15"/>
          <w:szCs w:val="15"/>
        </w:rPr>
        <w:br/>
      </w:r>
      <w:r>
        <w:rPr>
          <w:rFonts w:ascii="Arial" w:hAnsi="Arial" w:cs="Arial"/>
          <w:b/>
          <w:bCs/>
          <w:color w:val="777777"/>
          <w:sz w:val="15"/>
          <w:szCs w:val="15"/>
          <w:shd w:val="clear" w:color="auto" w:fill="FFFFFF"/>
        </w:rPr>
        <w:t xml:space="preserve">7. </w:t>
      </w:r>
      <w:proofErr w:type="spellStart"/>
      <w:r>
        <w:rPr>
          <w:rFonts w:ascii="Arial" w:hAnsi="Arial" w:cs="Arial"/>
          <w:b/>
          <w:bCs/>
          <w:color w:val="777777"/>
          <w:sz w:val="15"/>
          <w:szCs w:val="15"/>
          <w:shd w:val="clear" w:color="auto" w:fill="FFFFFF"/>
        </w:rPr>
        <w:t>Bhimraj</w:t>
      </w:r>
      <w:proofErr w:type="spellEnd"/>
      <w:r>
        <w:rPr>
          <w:rFonts w:ascii="Arial" w:hAnsi="Arial" w:cs="Arial"/>
          <w:b/>
          <w:bCs/>
          <w:color w:val="777777"/>
          <w:sz w:val="15"/>
          <w:szCs w:val="15"/>
          <w:shd w:val="clear" w:color="auto" w:fill="FFFFFF"/>
        </w:rPr>
        <w:t xml:space="preserve"> A., Morgan R., </w:t>
      </w:r>
      <w:proofErr w:type="spellStart"/>
      <w:r>
        <w:rPr>
          <w:rFonts w:ascii="Arial" w:hAnsi="Arial" w:cs="Arial"/>
          <w:b/>
          <w:bCs/>
          <w:color w:val="777777"/>
          <w:sz w:val="15"/>
          <w:szCs w:val="15"/>
          <w:shd w:val="clear" w:color="auto" w:fill="FFFFFF"/>
        </w:rPr>
        <w:t>Shumaker</w:t>
      </w:r>
      <w:proofErr w:type="spellEnd"/>
      <w:r>
        <w:rPr>
          <w:rFonts w:ascii="Arial" w:hAnsi="Arial" w:cs="Arial"/>
          <w:b/>
          <w:bCs/>
          <w:color w:val="777777"/>
          <w:sz w:val="15"/>
          <w:szCs w:val="15"/>
          <w:shd w:val="clear" w:color="auto" w:fill="FFFFFF"/>
        </w:rPr>
        <w:t xml:space="preserve"> A. i </w:t>
      </w:r>
      <w:proofErr w:type="spellStart"/>
      <w:r>
        <w:rPr>
          <w:rFonts w:ascii="Arial" w:hAnsi="Arial" w:cs="Arial"/>
          <w:b/>
          <w:bCs/>
          <w:color w:val="777777"/>
          <w:sz w:val="15"/>
          <w:szCs w:val="15"/>
          <w:shd w:val="clear" w:color="auto" w:fill="FFFFFF"/>
        </w:rPr>
        <w:t>wsp</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Infectious</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Diseases</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Society</w:t>
      </w:r>
      <w:proofErr w:type="spellEnd"/>
      <w:r>
        <w:rPr>
          <w:rFonts w:ascii="Arial" w:hAnsi="Arial" w:cs="Arial"/>
          <w:b/>
          <w:bCs/>
          <w:color w:val="777777"/>
          <w:sz w:val="15"/>
          <w:szCs w:val="15"/>
          <w:shd w:val="clear" w:color="auto" w:fill="FFFFFF"/>
        </w:rPr>
        <w:t xml:space="preserve"> of </w:t>
      </w:r>
      <w:proofErr w:type="spellStart"/>
      <w:r>
        <w:rPr>
          <w:rFonts w:ascii="Arial" w:hAnsi="Arial" w:cs="Arial"/>
          <w:b/>
          <w:bCs/>
          <w:color w:val="777777"/>
          <w:sz w:val="15"/>
          <w:szCs w:val="15"/>
          <w:shd w:val="clear" w:color="auto" w:fill="FFFFFF"/>
        </w:rPr>
        <w:t>America</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guidelines</w:t>
      </w:r>
      <w:proofErr w:type="spellEnd"/>
      <w:r>
        <w:rPr>
          <w:rFonts w:ascii="Arial" w:hAnsi="Arial" w:cs="Arial"/>
          <w:b/>
          <w:bCs/>
          <w:color w:val="777777"/>
          <w:sz w:val="15"/>
          <w:szCs w:val="15"/>
          <w:shd w:val="clear" w:color="auto" w:fill="FFFFFF"/>
        </w:rPr>
        <w:t xml:space="preserve"> on the </w:t>
      </w:r>
      <w:proofErr w:type="spellStart"/>
      <w:r>
        <w:rPr>
          <w:rFonts w:ascii="Arial" w:hAnsi="Arial" w:cs="Arial"/>
          <w:b/>
          <w:bCs/>
          <w:color w:val="777777"/>
          <w:sz w:val="15"/>
          <w:szCs w:val="15"/>
          <w:shd w:val="clear" w:color="auto" w:fill="FFFFFF"/>
        </w:rPr>
        <w:t>treatment</w:t>
      </w:r>
      <w:proofErr w:type="spellEnd"/>
      <w:r>
        <w:rPr>
          <w:rFonts w:ascii="Arial" w:hAnsi="Arial" w:cs="Arial"/>
          <w:b/>
          <w:bCs/>
          <w:color w:val="777777"/>
          <w:sz w:val="15"/>
          <w:szCs w:val="15"/>
          <w:shd w:val="clear" w:color="auto" w:fill="FFFFFF"/>
        </w:rPr>
        <w:t xml:space="preserve"> and management of </w:t>
      </w:r>
      <w:proofErr w:type="spellStart"/>
      <w:r>
        <w:rPr>
          <w:rFonts w:ascii="Arial" w:hAnsi="Arial" w:cs="Arial"/>
          <w:b/>
          <w:bCs/>
          <w:color w:val="777777"/>
          <w:sz w:val="15"/>
          <w:szCs w:val="15"/>
          <w:shd w:val="clear" w:color="auto" w:fill="FFFFFF"/>
        </w:rPr>
        <w:t>patients</w:t>
      </w:r>
      <w:proofErr w:type="spellEnd"/>
      <w:r>
        <w:rPr>
          <w:rFonts w:ascii="Arial" w:hAnsi="Arial" w:cs="Arial"/>
          <w:b/>
          <w:bCs/>
          <w:color w:val="777777"/>
          <w:sz w:val="15"/>
          <w:szCs w:val="15"/>
          <w:shd w:val="clear" w:color="auto" w:fill="FFFFFF"/>
        </w:rPr>
        <w:t xml:space="preserve"> with COVID-19. 11.04.2020. https:// www.idsociety.org/practice-guideline/covid-19-guideline-treatment-and-management/ (dostęp 30.10.2020)</w:t>
      </w:r>
      <w:r>
        <w:rPr>
          <w:rFonts w:ascii="Arial" w:hAnsi="Arial" w:cs="Arial"/>
          <w:b/>
          <w:bCs/>
          <w:color w:val="777777"/>
          <w:sz w:val="15"/>
          <w:szCs w:val="15"/>
        </w:rPr>
        <w:br/>
      </w:r>
      <w:r>
        <w:rPr>
          <w:rFonts w:ascii="Arial" w:hAnsi="Arial" w:cs="Arial"/>
          <w:b/>
          <w:bCs/>
          <w:color w:val="777777"/>
          <w:sz w:val="15"/>
          <w:szCs w:val="15"/>
          <w:shd w:val="clear" w:color="auto" w:fill="FFFFFF"/>
        </w:rPr>
        <w:t xml:space="preserve">8. </w:t>
      </w:r>
      <w:proofErr w:type="spellStart"/>
      <w:r>
        <w:rPr>
          <w:rFonts w:ascii="Arial" w:hAnsi="Arial" w:cs="Arial"/>
          <w:b/>
          <w:bCs/>
          <w:color w:val="777777"/>
          <w:sz w:val="15"/>
          <w:szCs w:val="15"/>
          <w:shd w:val="clear" w:color="auto" w:fill="FFFFFF"/>
        </w:rPr>
        <w:t>European</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Medicines</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Agency</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Treatments</w:t>
      </w:r>
      <w:proofErr w:type="spellEnd"/>
      <w:r>
        <w:rPr>
          <w:rFonts w:ascii="Arial" w:hAnsi="Arial" w:cs="Arial"/>
          <w:b/>
          <w:bCs/>
          <w:color w:val="777777"/>
          <w:sz w:val="15"/>
          <w:szCs w:val="15"/>
          <w:shd w:val="clear" w:color="auto" w:fill="FFFFFF"/>
        </w:rPr>
        <w:t xml:space="preserve"> and </w:t>
      </w:r>
      <w:proofErr w:type="spellStart"/>
      <w:r>
        <w:rPr>
          <w:rFonts w:ascii="Arial" w:hAnsi="Arial" w:cs="Arial"/>
          <w:b/>
          <w:bCs/>
          <w:color w:val="777777"/>
          <w:sz w:val="15"/>
          <w:szCs w:val="15"/>
          <w:shd w:val="clear" w:color="auto" w:fill="FFFFFF"/>
        </w:rPr>
        <w:t>vaccines</w:t>
      </w:r>
      <w:proofErr w:type="spellEnd"/>
      <w:r>
        <w:rPr>
          <w:rFonts w:ascii="Arial" w:hAnsi="Arial" w:cs="Arial"/>
          <w:b/>
          <w:bCs/>
          <w:color w:val="777777"/>
          <w:sz w:val="15"/>
          <w:szCs w:val="15"/>
          <w:shd w:val="clear" w:color="auto" w:fill="FFFFFF"/>
        </w:rPr>
        <w:t xml:space="preserve"> for COVID-19. www.ema.europa. eu/en/human-regulatory/overview/public-health-threats/coronavirus-disease-covid-19/ treatments-vaccines-covid-19 (dostęp 30.10.2020)</w:t>
      </w:r>
      <w:r>
        <w:rPr>
          <w:rFonts w:ascii="Arial" w:hAnsi="Arial" w:cs="Arial"/>
          <w:b/>
          <w:bCs/>
          <w:color w:val="777777"/>
          <w:sz w:val="15"/>
          <w:szCs w:val="15"/>
        </w:rPr>
        <w:br/>
      </w:r>
      <w:r>
        <w:rPr>
          <w:rFonts w:ascii="Arial" w:hAnsi="Arial" w:cs="Arial"/>
          <w:b/>
          <w:bCs/>
          <w:color w:val="777777"/>
          <w:sz w:val="15"/>
          <w:szCs w:val="15"/>
          <w:shd w:val="clear" w:color="auto" w:fill="FFFFFF"/>
        </w:rPr>
        <w:t xml:space="preserve">9. Agencja Oceny Technologii Medycznych i Taryfikacji: Przegląd doniesień naukowych dla osocza ozdrowieńców stosowanego w leczeniu COVID-19. Opracowanie analityczne </w:t>
      </w:r>
      <w:proofErr w:type="spellStart"/>
      <w:r>
        <w:rPr>
          <w:rFonts w:ascii="Arial" w:hAnsi="Arial" w:cs="Arial"/>
          <w:b/>
          <w:bCs/>
          <w:color w:val="777777"/>
          <w:sz w:val="15"/>
          <w:szCs w:val="15"/>
          <w:shd w:val="clear" w:color="auto" w:fill="FFFFFF"/>
        </w:rPr>
        <w:t>AOTMiT</w:t>
      </w:r>
      <w:proofErr w:type="spellEnd"/>
      <w:r>
        <w:rPr>
          <w:rFonts w:ascii="Arial" w:hAnsi="Arial" w:cs="Arial"/>
          <w:b/>
          <w:bCs/>
          <w:color w:val="777777"/>
          <w:sz w:val="15"/>
          <w:szCs w:val="15"/>
          <w:shd w:val="clear" w:color="auto" w:fill="FFFFFF"/>
        </w:rPr>
        <w:t>. 22.09.2020. www.aotm.gov.pl/media/2020/09/AOTMiT_COVID_19_Przeglad_ Osocze_v-1.0_2020.09.22.pdf (dostęp 30.10.2020)</w:t>
      </w:r>
      <w:r>
        <w:rPr>
          <w:rFonts w:ascii="Arial" w:hAnsi="Arial" w:cs="Arial"/>
          <w:b/>
          <w:bCs/>
          <w:color w:val="777777"/>
          <w:sz w:val="15"/>
          <w:szCs w:val="15"/>
        </w:rPr>
        <w:br/>
      </w:r>
      <w:r>
        <w:rPr>
          <w:rFonts w:ascii="Arial" w:hAnsi="Arial" w:cs="Arial"/>
          <w:b/>
          <w:bCs/>
          <w:color w:val="777777"/>
          <w:sz w:val="15"/>
          <w:szCs w:val="15"/>
          <w:shd w:val="clear" w:color="auto" w:fill="FFFFFF"/>
        </w:rPr>
        <w:t xml:space="preserve">10. The RECOVERY </w:t>
      </w:r>
      <w:proofErr w:type="spellStart"/>
      <w:r>
        <w:rPr>
          <w:rFonts w:ascii="Arial" w:hAnsi="Arial" w:cs="Arial"/>
          <w:b/>
          <w:bCs/>
          <w:color w:val="777777"/>
          <w:sz w:val="15"/>
          <w:szCs w:val="15"/>
          <w:shd w:val="clear" w:color="auto" w:fill="FFFFFF"/>
        </w:rPr>
        <w:t>Collaborative</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Group</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Dexamethasone</w:t>
      </w:r>
      <w:proofErr w:type="spellEnd"/>
      <w:r>
        <w:rPr>
          <w:rFonts w:ascii="Arial" w:hAnsi="Arial" w:cs="Arial"/>
          <w:b/>
          <w:bCs/>
          <w:color w:val="777777"/>
          <w:sz w:val="15"/>
          <w:szCs w:val="15"/>
          <w:shd w:val="clear" w:color="auto" w:fill="FFFFFF"/>
        </w:rPr>
        <w:t xml:space="preserve"> in </w:t>
      </w:r>
      <w:proofErr w:type="spellStart"/>
      <w:r>
        <w:rPr>
          <w:rFonts w:ascii="Arial" w:hAnsi="Arial" w:cs="Arial"/>
          <w:b/>
          <w:bCs/>
          <w:color w:val="777777"/>
          <w:sz w:val="15"/>
          <w:szCs w:val="15"/>
          <w:shd w:val="clear" w:color="auto" w:fill="FFFFFF"/>
        </w:rPr>
        <w:t>hospitalized</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patients</w:t>
      </w:r>
      <w:proofErr w:type="spellEnd"/>
      <w:r>
        <w:rPr>
          <w:rFonts w:ascii="Arial" w:hAnsi="Arial" w:cs="Arial"/>
          <w:b/>
          <w:bCs/>
          <w:color w:val="777777"/>
          <w:sz w:val="15"/>
          <w:szCs w:val="15"/>
          <w:shd w:val="clear" w:color="auto" w:fill="FFFFFF"/>
        </w:rPr>
        <w:t xml:space="preserve"> with Covid-19 – </w:t>
      </w:r>
      <w:proofErr w:type="spellStart"/>
      <w:r>
        <w:rPr>
          <w:rFonts w:ascii="Arial" w:hAnsi="Arial" w:cs="Arial"/>
          <w:b/>
          <w:bCs/>
          <w:color w:val="777777"/>
          <w:sz w:val="15"/>
          <w:szCs w:val="15"/>
          <w:shd w:val="clear" w:color="auto" w:fill="FFFFFF"/>
        </w:rPr>
        <w:t>preliminary</w:t>
      </w:r>
      <w:proofErr w:type="spellEnd"/>
      <w:r>
        <w:rPr>
          <w:rFonts w:ascii="Arial" w:hAnsi="Arial" w:cs="Arial"/>
          <w:b/>
          <w:bCs/>
          <w:color w:val="777777"/>
          <w:sz w:val="15"/>
          <w:szCs w:val="15"/>
          <w:shd w:val="clear" w:color="auto" w:fill="FFFFFF"/>
        </w:rPr>
        <w:t xml:space="preserve"> report. N. </w:t>
      </w:r>
      <w:proofErr w:type="spellStart"/>
      <w:r>
        <w:rPr>
          <w:rFonts w:ascii="Arial" w:hAnsi="Arial" w:cs="Arial"/>
          <w:b/>
          <w:bCs/>
          <w:color w:val="777777"/>
          <w:sz w:val="15"/>
          <w:szCs w:val="15"/>
          <w:shd w:val="clear" w:color="auto" w:fill="FFFFFF"/>
        </w:rPr>
        <w:t>Engl</w:t>
      </w:r>
      <w:proofErr w:type="spellEnd"/>
      <w:r>
        <w:rPr>
          <w:rFonts w:ascii="Arial" w:hAnsi="Arial" w:cs="Arial"/>
          <w:b/>
          <w:bCs/>
          <w:color w:val="777777"/>
          <w:sz w:val="15"/>
          <w:szCs w:val="15"/>
          <w:shd w:val="clear" w:color="auto" w:fill="FFFFFF"/>
        </w:rPr>
        <w:t>. J. Med., 2020; doi: 10.1056/NEJMoa2 021 436</w:t>
      </w:r>
      <w:r>
        <w:rPr>
          <w:rFonts w:ascii="Arial" w:hAnsi="Arial" w:cs="Arial"/>
          <w:b/>
          <w:bCs/>
          <w:color w:val="777777"/>
          <w:sz w:val="15"/>
          <w:szCs w:val="15"/>
        </w:rPr>
        <w:br/>
      </w:r>
      <w:r>
        <w:rPr>
          <w:rFonts w:ascii="Arial" w:hAnsi="Arial" w:cs="Arial"/>
          <w:b/>
          <w:bCs/>
          <w:color w:val="777777"/>
          <w:sz w:val="15"/>
          <w:szCs w:val="15"/>
          <w:shd w:val="clear" w:color="auto" w:fill="FFFFFF"/>
        </w:rPr>
        <w:lastRenderedPageBreak/>
        <w:t xml:space="preserve">11. </w:t>
      </w:r>
      <w:proofErr w:type="spellStart"/>
      <w:r>
        <w:rPr>
          <w:rFonts w:ascii="Arial" w:hAnsi="Arial" w:cs="Arial"/>
          <w:b/>
          <w:bCs/>
          <w:color w:val="777777"/>
          <w:sz w:val="15"/>
          <w:szCs w:val="15"/>
          <w:shd w:val="clear" w:color="auto" w:fill="FFFFFF"/>
        </w:rPr>
        <w:t>Rosas</w:t>
      </w:r>
      <w:proofErr w:type="spellEnd"/>
      <w:r>
        <w:rPr>
          <w:rFonts w:ascii="Arial" w:hAnsi="Arial" w:cs="Arial"/>
          <w:b/>
          <w:bCs/>
          <w:color w:val="777777"/>
          <w:sz w:val="15"/>
          <w:szCs w:val="15"/>
          <w:shd w:val="clear" w:color="auto" w:fill="FFFFFF"/>
        </w:rPr>
        <w:t xml:space="preserve"> I., </w:t>
      </w:r>
      <w:proofErr w:type="spellStart"/>
      <w:r>
        <w:rPr>
          <w:rFonts w:ascii="Arial" w:hAnsi="Arial" w:cs="Arial"/>
          <w:b/>
          <w:bCs/>
          <w:color w:val="777777"/>
          <w:sz w:val="15"/>
          <w:szCs w:val="15"/>
          <w:shd w:val="clear" w:color="auto" w:fill="FFFFFF"/>
        </w:rPr>
        <w:t>Bräu</w:t>
      </w:r>
      <w:proofErr w:type="spellEnd"/>
      <w:r>
        <w:rPr>
          <w:rFonts w:ascii="Arial" w:hAnsi="Arial" w:cs="Arial"/>
          <w:b/>
          <w:bCs/>
          <w:color w:val="777777"/>
          <w:sz w:val="15"/>
          <w:szCs w:val="15"/>
          <w:shd w:val="clear" w:color="auto" w:fill="FFFFFF"/>
        </w:rPr>
        <w:t xml:space="preserve"> N., </w:t>
      </w:r>
      <w:proofErr w:type="spellStart"/>
      <w:r>
        <w:rPr>
          <w:rFonts w:ascii="Arial" w:hAnsi="Arial" w:cs="Arial"/>
          <w:b/>
          <w:bCs/>
          <w:color w:val="777777"/>
          <w:sz w:val="15"/>
          <w:szCs w:val="15"/>
          <w:shd w:val="clear" w:color="auto" w:fill="FFFFFF"/>
        </w:rPr>
        <w:t>Waters</w:t>
      </w:r>
      <w:proofErr w:type="spellEnd"/>
      <w:r>
        <w:rPr>
          <w:rFonts w:ascii="Arial" w:hAnsi="Arial" w:cs="Arial"/>
          <w:b/>
          <w:bCs/>
          <w:color w:val="777777"/>
          <w:sz w:val="15"/>
          <w:szCs w:val="15"/>
          <w:shd w:val="clear" w:color="auto" w:fill="FFFFFF"/>
        </w:rPr>
        <w:t xml:space="preserve"> M. i </w:t>
      </w:r>
      <w:proofErr w:type="spellStart"/>
      <w:r>
        <w:rPr>
          <w:rFonts w:ascii="Arial" w:hAnsi="Arial" w:cs="Arial"/>
          <w:b/>
          <w:bCs/>
          <w:color w:val="777777"/>
          <w:sz w:val="15"/>
          <w:szCs w:val="15"/>
          <w:shd w:val="clear" w:color="auto" w:fill="FFFFFF"/>
        </w:rPr>
        <w:t>wsp</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Tocilizumab</w:t>
      </w:r>
      <w:proofErr w:type="spellEnd"/>
      <w:r>
        <w:rPr>
          <w:rFonts w:ascii="Arial" w:hAnsi="Arial" w:cs="Arial"/>
          <w:b/>
          <w:bCs/>
          <w:color w:val="777777"/>
          <w:sz w:val="15"/>
          <w:szCs w:val="15"/>
          <w:shd w:val="clear" w:color="auto" w:fill="FFFFFF"/>
        </w:rPr>
        <w:t xml:space="preserve"> in </w:t>
      </w:r>
      <w:proofErr w:type="spellStart"/>
      <w:r>
        <w:rPr>
          <w:rFonts w:ascii="Arial" w:hAnsi="Arial" w:cs="Arial"/>
          <w:b/>
          <w:bCs/>
          <w:color w:val="777777"/>
          <w:sz w:val="15"/>
          <w:szCs w:val="15"/>
          <w:shd w:val="clear" w:color="auto" w:fill="FFFFFF"/>
        </w:rPr>
        <w:t>hospitalized</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patients</w:t>
      </w:r>
      <w:proofErr w:type="spellEnd"/>
      <w:r>
        <w:rPr>
          <w:rFonts w:ascii="Arial" w:hAnsi="Arial" w:cs="Arial"/>
          <w:b/>
          <w:bCs/>
          <w:color w:val="777777"/>
          <w:sz w:val="15"/>
          <w:szCs w:val="15"/>
          <w:shd w:val="clear" w:color="auto" w:fill="FFFFFF"/>
        </w:rPr>
        <w:t xml:space="preserve"> with COVID-19 pneumonia. doi: https://doi.org/10.1101/2020.08.27.20183442 (</w:t>
      </w:r>
      <w:proofErr w:type="spellStart"/>
      <w:r>
        <w:rPr>
          <w:rFonts w:ascii="Arial" w:hAnsi="Arial" w:cs="Arial"/>
          <w:b/>
          <w:bCs/>
          <w:color w:val="777777"/>
          <w:sz w:val="15"/>
          <w:szCs w:val="15"/>
          <w:shd w:val="clear" w:color="auto" w:fill="FFFFFF"/>
        </w:rPr>
        <w:t>preprint</w:t>
      </w:r>
      <w:proofErr w:type="spellEnd"/>
      <w:r>
        <w:rPr>
          <w:rFonts w:ascii="Arial" w:hAnsi="Arial" w:cs="Arial"/>
          <w:b/>
          <w:bCs/>
          <w:color w:val="777777"/>
          <w:sz w:val="15"/>
          <w:szCs w:val="15"/>
          <w:shd w:val="clear" w:color="auto" w:fill="FFFFFF"/>
        </w:rPr>
        <w:t xml:space="preserve"> https://www. medrxiv.org/</w:t>
      </w:r>
      <w:proofErr w:type="spellStart"/>
      <w:r>
        <w:rPr>
          <w:rFonts w:ascii="Arial" w:hAnsi="Arial" w:cs="Arial"/>
          <w:b/>
          <w:bCs/>
          <w:color w:val="777777"/>
          <w:sz w:val="15"/>
          <w:szCs w:val="15"/>
          <w:shd w:val="clear" w:color="auto" w:fill="FFFFFF"/>
        </w:rPr>
        <w:t>content</w:t>
      </w:r>
      <w:proofErr w:type="spellEnd"/>
      <w:r>
        <w:rPr>
          <w:rFonts w:ascii="Arial" w:hAnsi="Arial" w:cs="Arial"/>
          <w:b/>
          <w:bCs/>
          <w:color w:val="777777"/>
          <w:sz w:val="15"/>
          <w:szCs w:val="15"/>
          <w:shd w:val="clear" w:color="auto" w:fill="FFFFFF"/>
        </w:rPr>
        <w:t>/10.1101/2020.08.27.20183442v2, dostęp 04.11.2020)</w:t>
      </w:r>
      <w:r>
        <w:rPr>
          <w:rFonts w:ascii="Arial" w:hAnsi="Arial" w:cs="Arial"/>
          <w:b/>
          <w:bCs/>
          <w:color w:val="777777"/>
          <w:sz w:val="15"/>
          <w:szCs w:val="15"/>
        </w:rPr>
        <w:br/>
      </w:r>
      <w:r>
        <w:rPr>
          <w:rFonts w:ascii="Arial" w:hAnsi="Arial" w:cs="Arial"/>
          <w:b/>
          <w:bCs/>
          <w:color w:val="777777"/>
          <w:sz w:val="15"/>
          <w:szCs w:val="15"/>
          <w:shd w:val="clear" w:color="auto" w:fill="FFFFFF"/>
        </w:rPr>
        <w:t xml:space="preserve">12. Salama C., </w:t>
      </w:r>
      <w:proofErr w:type="spellStart"/>
      <w:r>
        <w:rPr>
          <w:rFonts w:ascii="Arial" w:hAnsi="Arial" w:cs="Arial"/>
          <w:b/>
          <w:bCs/>
          <w:color w:val="777777"/>
          <w:sz w:val="15"/>
          <w:szCs w:val="15"/>
          <w:shd w:val="clear" w:color="auto" w:fill="FFFFFF"/>
        </w:rPr>
        <w:t>Han</w:t>
      </w:r>
      <w:proofErr w:type="spellEnd"/>
      <w:r>
        <w:rPr>
          <w:rFonts w:ascii="Arial" w:hAnsi="Arial" w:cs="Arial"/>
          <w:b/>
          <w:bCs/>
          <w:color w:val="777777"/>
          <w:sz w:val="15"/>
          <w:szCs w:val="15"/>
          <w:shd w:val="clear" w:color="auto" w:fill="FFFFFF"/>
        </w:rPr>
        <w:t xml:space="preserve"> J., </w:t>
      </w:r>
      <w:proofErr w:type="spellStart"/>
      <w:r>
        <w:rPr>
          <w:rFonts w:ascii="Arial" w:hAnsi="Arial" w:cs="Arial"/>
          <w:b/>
          <w:bCs/>
          <w:color w:val="777777"/>
          <w:sz w:val="15"/>
          <w:szCs w:val="15"/>
          <w:shd w:val="clear" w:color="auto" w:fill="FFFFFF"/>
        </w:rPr>
        <w:t>Yau</w:t>
      </w:r>
      <w:proofErr w:type="spellEnd"/>
      <w:r>
        <w:rPr>
          <w:rFonts w:ascii="Arial" w:hAnsi="Arial" w:cs="Arial"/>
          <w:b/>
          <w:bCs/>
          <w:color w:val="777777"/>
          <w:sz w:val="15"/>
          <w:szCs w:val="15"/>
          <w:shd w:val="clear" w:color="auto" w:fill="FFFFFF"/>
        </w:rPr>
        <w:t xml:space="preserve"> L. i </w:t>
      </w:r>
      <w:proofErr w:type="spellStart"/>
      <w:r>
        <w:rPr>
          <w:rFonts w:ascii="Arial" w:hAnsi="Arial" w:cs="Arial"/>
          <w:b/>
          <w:bCs/>
          <w:color w:val="777777"/>
          <w:sz w:val="15"/>
          <w:szCs w:val="15"/>
          <w:shd w:val="clear" w:color="auto" w:fill="FFFFFF"/>
        </w:rPr>
        <w:t>wsp</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Tocilizumab</w:t>
      </w:r>
      <w:proofErr w:type="spellEnd"/>
      <w:r>
        <w:rPr>
          <w:rFonts w:ascii="Arial" w:hAnsi="Arial" w:cs="Arial"/>
          <w:b/>
          <w:bCs/>
          <w:color w:val="777777"/>
          <w:sz w:val="15"/>
          <w:szCs w:val="15"/>
          <w:shd w:val="clear" w:color="auto" w:fill="FFFFFF"/>
        </w:rPr>
        <w:t xml:space="preserve"> in </w:t>
      </w:r>
      <w:proofErr w:type="spellStart"/>
      <w:r>
        <w:rPr>
          <w:rFonts w:ascii="Arial" w:hAnsi="Arial" w:cs="Arial"/>
          <w:b/>
          <w:bCs/>
          <w:color w:val="777777"/>
          <w:sz w:val="15"/>
          <w:szCs w:val="15"/>
          <w:shd w:val="clear" w:color="auto" w:fill="FFFFFF"/>
        </w:rPr>
        <w:t>nonventilated</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patients</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hospitalized</w:t>
      </w:r>
      <w:proofErr w:type="spellEnd"/>
      <w:r>
        <w:rPr>
          <w:rFonts w:ascii="Arial" w:hAnsi="Arial" w:cs="Arial"/>
          <w:b/>
          <w:bCs/>
          <w:color w:val="777777"/>
          <w:sz w:val="15"/>
          <w:szCs w:val="15"/>
          <w:shd w:val="clear" w:color="auto" w:fill="FFFFFF"/>
        </w:rPr>
        <w:t xml:space="preserve"> with Covid-19 pneumonia. doi: https://doi.org/10.1101/2020.10.21.20210203 (</w:t>
      </w:r>
      <w:proofErr w:type="spellStart"/>
      <w:r>
        <w:rPr>
          <w:rFonts w:ascii="Arial" w:hAnsi="Arial" w:cs="Arial"/>
          <w:b/>
          <w:bCs/>
          <w:color w:val="777777"/>
          <w:sz w:val="15"/>
          <w:szCs w:val="15"/>
          <w:shd w:val="clear" w:color="auto" w:fill="FFFFFF"/>
        </w:rPr>
        <w:t>preprint</w:t>
      </w:r>
      <w:proofErr w:type="spellEnd"/>
      <w:r>
        <w:rPr>
          <w:rFonts w:ascii="Arial" w:hAnsi="Arial" w:cs="Arial"/>
          <w:b/>
          <w:bCs/>
          <w:color w:val="777777"/>
          <w:sz w:val="15"/>
          <w:szCs w:val="15"/>
          <w:shd w:val="clear" w:color="auto" w:fill="FFFFFF"/>
        </w:rPr>
        <w:t>, https://www.medrxiv.org/content/10.1101/2020.10.21.20210203v1, dostęp 04.11.2020)</w:t>
      </w:r>
      <w:r>
        <w:rPr>
          <w:rFonts w:ascii="Arial" w:hAnsi="Arial" w:cs="Arial"/>
          <w:b/>
          <w:bCs/>
          <w:color w:val="777777"/>
          <w:sz w:val="15"/>
          <w:szCs w:val="15"/>
        </w:rPr>
        <w:br/>
      </w:r>
      <w:r>
        <w:rPr>
          <w:rFonts w:ascii="Arial" w:hAnsi="Arial" w:cs="Arial"/>
          <w:b/>
          <w:bCs/>
          <w:color w:val="777777"/>
          <w:sz w:val="15"/>
          <w:szCs w:val="15"/>
          <w:shd w:val="clear" w:color="auto" w:fill="FFFFFF"/>
        </w:rPr>
        <w:t xml:space="preserve">13. </w:t>
      </w:r>
      <w:proofErr w:type="spellStart"/>
      <w:r>
        <w:rPr>
          <w:rFonts w:ascii="Arial" w:hAnsi="Arial" w:cs="Arial"/>
          <w:b/>
          <w:bCs/>
          <w:color w:val="777777"/>
          <w:sz w:val="15"/>
          <w:szCs w:val="15"/>
          <w:shd w:val="clear" w:color="auto" w:fill="FFFFFF"/>
        </w:rPr>
        <w:t>Klok</w:t>
      </w:r>
      <w:proofErr w:type="spellEnd"/>
      <w:r>
        <w:rPr>
          <w:rFonts w:ascii="Arial" w:hAnsi="Arial" w:cs="Arial"/>
          <w:b/>
          <w:bCs/>
          <w:color w:val="777777"/>
          <w:sz w:val="15"/>
          <w:szCs w:val="15"/>
          <w:shd w:val="clear" w:color="auto" w:fill="FFFFFF"/>
        </w:rPr>
        <w:t xml:space="preserve"> F.A., </w:t>
      </w:r>
      <w:proofErr w:type="spellStart"/>
      <w:r>
        <w:rPr>
          <w:rFonts w:ascii="Arial" w:hAnsi="Arial" w:cs="Arial"/>
          <w:b/>
          <w:bCs/>
          <w:color w:val="777777"/>
          <w:sz w:val="15"/>
          <w:szCs w:val="15"/>
          <w:shd w:val="clear" w:color="auto" w:fill="FFFFFF"/>
        </w:rPr>
        <w:t>Kruip</w:t>
      </w:r>
      <w:proofErr w:type="spellEnd"/>
      <w:r>
        <w:rPr>
          <w:rFonts w:ascii="Arial" w:hAnsi="Arial" w:cs="Arial"/>
          <w:b/>
          <w:bCs/>
          <w:color w:val="777777"/>
          <w:sz w:val="15"/>
          <w:szCs w:val="15"/>
          <w:shd w:val="clear" w:color="auto" w:fill="FFFFFF"/>
        </w:rPr>
        <w:t xml:space="preserve"> M.J.H.A., van der </w:t>
      </w:r>
      <w:proofErr w:type="spellStart"/>
      <w:r>
        <w:rPr>
          <w:rFonts w:ascii="Arial" w:hAnsi="Arial" w:cs="Arial"/>
          <w:b/>
          <w:bCs/>
          <w:color w:val="777777"/>
          <w:sz w:val="15"/>
          <w:szCs w:val="15"/>
          <w:shd w:val="clear" w:color="auto" w:fill="FFFFFF"/>
        </w:rPr>
        <w:t>Meer</w:t>
      </w:r>
      <w:proofErr w:type="spellEnd"/>
      <w:r>
        <w:rPr>
          <w:rFonts w:ascii="Arial" w:hAnsi="Arial" w:cs="Arial"/>
          <w:b/>
          <w:bCs/>
          <w:color w:val="777777"/>
          <w:sz w:val="15"/>
          <w:szCs w:val="15"/>
          <w:shd w:val="clear" w:color="auto" w:fill="FFFFFF"/>
        </w:rPr>
        <w:t xml:space="preserve"> N.J.M. i </w:t>
      </w:r>
      <w:proofErr w:type="spellStart"/>
      <w:r>
        <w:rPr>
          <w:rFonts w:ascii="Arial" w:hAnsi="Arial" w:cs="Arial"/>
          <w:b/>
          <w:bCs/>
          <w:color w:val="777777"/>
          <w:sz w:val="15"/>
          <w:szCs w:val="15"/>
          <w:shd w:val="clear" w:color="auto" w:fill="FFFFFF"/>
        </w:rPr>
        <w:t>wsp</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Incidence</w:t>
      </w:r>
      <w:proofErr w:type="spellEnd"/>
      <w:r>
        <w:rPr>
          <w:rFonts w:ascii="Arial" w:hAnsi="Arial" w:cs="Arial"/>
          <w:b/>
          <w:bCs/>
          <w:color w:val="777777"/>
          <w:sz w:val="15"/>
          <w:szCs w:val="15"/>
          <w:shd w:val="clear" w:color="auto" w:fill="FFFFFF"/>
        </w:rPr>
        <w:t xml:space="preserve"> of </w:t>
      </w:r>
      <w:proofErr w:type="spellStart"/>
      <w:r>
        <w:rPr>
          <w:rFonts w:ascii="Arial" w:hAnsi="Arial" w:cs="Arial"/>
          <w:b/>
          <w:bCs/>
          <w:color w:val="777777"/>
          <w:sz w:val="15"/>
          <w:szCs w:val="15"/>
          <w:shd w:val="clear" w:color="auto" w:fill="FFFFFF"/>
        </w:rPr>
        <w:t>thrombotic</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complications</w:t>
      </w:r>
      <w:proofErr w:type="spellEnd"/>
      <w:r>
        <w:rPr>
          <w:rFonts w:ascii="Arial" w:hAnsi="Arial" w:cs="Arial"/>
          <w:b/>
          <w:bCs/>
          <w:color w:val="777777"/>
          <w:sz w:val="15"/>
          <w:szCs w:val="15"/>
          <w:shd w:val="clear" w:color="auto" w:fill="FFFFFF"/>
        </w:rPr>
        <w:t xml:space="preserve"> in </w:t>
      </w:r>
      <w:proofErr w:type="spellStart"/>
      <w:r>
        <w:rPr>
          <w:rFonts w:ascii="Arial" w:hAnsi="Arial" w:cs="Arial"/>
          <w:b/>
          <w:bCs/>
          <w:color w:val="777777"/>
          <w:sz w:val="15"/>
          <w:szCs w:val="15"/>
          <w:shd w:val="clear" w:color="auto" w:fill="FFFFFF"/>
        </w:rPr>
        <w:t>critically</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ill</w:t>
      </w:r>
      <w:proofErr w:type="spellEnd"/>
      <w:r>
        <w:rPr>
          <w:rFonts w:ascii="Arial" w:hAnsi="Arial" w:cs="Arial"/>
          <w:b/>
          <w:bCs/>
          <w:color w:val="777777"/>
          <w:sz w:val="15"/>
          <w:szCs w:val="15"/>
          <w:shd w:val="clear" w:color="auto" w:fill="FFFFFF"/>
        </w:rPr>
        <w:t xml:space="preserve"> ICU </w:t>
      </w:r>
      <w:proofErr w:type="spellStart"/>
      <w:r>
        <w:rPr>
          <w:rFonts w:ascii="Arial" w:hAnsi="Arial" w:cs="Arial"/>
          <w:b/>
          <w:bCs/>
          <w:color w:val="777777"/>
          <w:sz w:val="15"/>
          <w:szCs w:val="15"/>
          <w:shd w:val="clear" w:color="auto" w:fill="FFFFFF"/>
        </w:rPr>
        <w:t>patients</w:t>
      </w:r>
      <w:proofErr w:type="spellEnd"/>
      <w:r>
        <w:rPr>
          <w:rFonts w:ascii="Arial" w:hAnsi="Arial" w:cs="Arial"/>
          <w:b/>
          <w:bCs/>
          <w:color w:val="777777"/>
          <w:sz w:val="15"/>
          <w:szCs w:val="15"/>
          <w:shd w:val="clear" w:color="auto" w:fill="FFFFFF"/>
        </w:rPr>
        <w:t xml:space="preserve"> with COVID-19. </w:t>
      </w:r>
      <w:proofErr w:type="spellStart"/>
      <w:r>
        <w:rPr>
          <w:rFonts w:ascii="Arial" w:hAnsi="Arial" w:cs="Arial"/>
          <w:b/>
          <w:bCs/>
          <w:color w:val="777777"/>
          <w:sz w:val="15"/>
          <w:szCs w:val="15"/>
          <w:shd w:val="clear" w:color="auto" w:fill="FFFFFF"/>
        </w:rPr>
        <w:t>Thromb</w:t>
      </w:r>
      <w:proofErr w:type="spellEnd"/>
      <w:r>
        <w:rPr>
          <w:rFonts w:ascii="Arial" w:hAnsi="Arial" w:cs="Arial"/>
          <w:b/>
          <w:bCs/>
          <w:color w:val="777777"/>
          <w:sz w:val="15"/>
          <w:szCs w:val="15"/>
          <w:shd w:val="clear" w:color="auto" w:fill="FFFFFF"/>
        </w:rPr>
        <w:t>. Res., 2020; 191: 145–147</w:t>
      </w:r>
      <w:r>
        <w:rPr>
          <w:rFonts w:ascii="Arial" w:hAnsi="Arial" w:cs="Arial"/>
          <w:b/>
          <w:bCs/>
          <w:color w:val="777777"/>
          <w:sz w:val="15"/>
          <w:szCs w:val="15"/>
        </w:rPr>
        <w:br/>
      </w:r>
      <w:r>
        <w:rPr>
          <w:rFonts w:ascii="Arial" w:hAnsi="Arial" w:cs="Arial"/>
          <w:b/>
          <w:bCs/>
          <w:color w:val="777777"/>
          <w:sz w:val="15"/>
          <w:szCs w:val="15"/>
          <w:shd w:val="clear" w:color="auto" w:fill="FFFFFF"/>
        </w:rPr>
        <w:t xml:space="preserve">14. </w:t>
      </w:r>
      <w:proofErr w:type="spellStart"/>
      <w:r>
        <w:rPr>
          <w:rFonts w:ascii="Arial" w:hAnsi="Arial" w:cs="Arial"/>
          <w:b/>
          <w:bCs/>
          <w:color w:val="777777"/>
          <w:sz w:val="15"/>
          <w:szCs w:val="15"/>
          <w:shd w:val="clear" w:color="auto" w:fill="FFFFFF"/>
        </w:rPr>
        <w:t>Wichmann</w:t>
      </w:r>
      <w:proofErr w:type="spellEnd"/>
      <w:r>
        <w:rPr>
          <w:rFonts w:ascii="Arial" w:hAnsi="Arial" w:cs="Arial"/>
          <w:b/>
          <w:bCs/>
          <w:color w:val="777777"/>
          <w:sz w:val="15"/>
          <w:szCs w:val="15"/>
          <w:shd w:val="clear" w:color="auto" w:fill="FFFFFF"/>
        </w:rPr>
        <w:t xml:space="preserve"> D., </w:t>
      </w:r>
      <w:proofErr w:type="spellStart"/>
      <w:r>
        <w:rPr>
          <w:rFonts w:ascii="Arial" w:hAnsi="Arial" w:cs="Arial"/>
          <w:b/>
          <w:bCs/>
          <w:color w:val="777777"/>
          <w:sz w:val="15"/>
          <w:szCs w:val="15"/>
          <w:shd w:val="clear" w:color="auto" w:fill="FFFFFF"/>
        </w:rPr>
        <w:t>Sperhake</w:t>
      </w:r>
      <w:proofErr w:type="spellEnd"/>
      <w:r>
        <w:rPr>
          <w:rFonts w:ascii="Arial" w:hAnsi="Arial" w:cs="Arial"/>
          <w:b/>
          <w:bCs/>
          <w:color w:val="777777"/>
          <w:sz w:val="15"/>
          <w:szCs w:val="15"/>
          <w:shd w:val="clear" w:color="auto" w:fill="FFFFFF"/>
        </w:rPr>
        <w:t xml:space="preserve"> J.P., </w:t>
      </w:r>
      <w:proofErr w:type="spellStart"/>
      <w:r>
        <w:rPr>
          <w:rFonts w:ascii="Arial" w:hAnsi="Arial" w:cs="Arial"/>
          <w:b/>
          <w:bCs/>
          <w:color w:val="777777"/>
          <w:sz w:val="15"/>
          <w:szCs w:val="15"/>
          <w:shd w:val="clear" w:color="auto" w:fill="FFFFFF"/>
        </w:rPr>
        <w:t>Lütgehetmann</w:t>
      </w:r>
      <w:proofErr w:type="spellEnd"/>
      <w:r>
        <w:rPr>
          <w:rFonts w:ascii="Arial" w:hAnsi="Arial" w:cs="Arial"/>
          <w:b/>
          <w:bCs/>
          <w:color w:val="777777"/>
          <w:sz w:val="15"/>
          <w:szCs w:val="15"/>
          <w:shd w:val="clear" w:color="auto" w:fill="FFFFFF"/>
        </w:rPr>
        <w:t xml:space="preserve"> M. i </w:t>
      </w:r>
      <w:proofErr w:type="spellStart"/>
      <w:r>
        <w:rPr>
          <w:rFonts w:ascii="Arial" w:hAnsi="Arial" w:cs="Arial"/>
          <w:b/>
          <w:bCs/>
          <w:color w:val="777777"/>
          <w:sz w:val="15"/>
          <w:szCs w:val="15"/>
          <w:shd w:val="clear" w:color="auto" w:fill="FFFFFF"/>
        </w:rPr>
        <w:t>wsp</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Autopsy</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findings</w:t>
      </w:r>
      <w:proofErr w:type="spellEnd"/>
      <w:r>
        <w:rPr>
          <w:rFonts w:ascii="Arial" w:hAnsi="Arial" w:cs="Arial"/>
          <w:b/>
          <w:bCs/>
          <w:color w:val="777777"/>
          <w:sz w:val="15"/>
          <w:szCs w:val="15"/>
          <w:shd w:val="clear" w:color="auto" w:fill="FFFFFF"/>
        </w:rPr>
        <w:t xml:space="preserve"> and </w:t>
      </w:r>
      <w:proofErr w:type="spellStart"/>
      <w:r>
        <w:rPr>
          <w:rFonts w:ascii="Arial" w:hAnsi="Arial" w:cs="Arial"/>
          <w:b/>
          <w:bCs/>
          <w:color w:val="777777"/>
          <w:sz w:val="15"/>
          <w:szCs w:val="15"/>
          <w:shd w:val="clear" w:color="auto" w:fill="FFFFFF"/>
        </w:rPr>
        <w:t>venous</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thromboembolism</w:t>
      </w:r>
      <w:proofErr w:type="spellEnd"/>
      <w:r>
        <w:rPr>
          <w:rFonts w:ascii="Arial" w:hAnsi="Arial" w:cs="Arial"/>
          <w:b/>
          <w:bCs/>
          <w:color w:val="777777"/>
          <w:sz w:val="15"/>
          <w:szCs w:val="15"/>
          <w:shd w:val="clear" w:color="auto" w:fill="FFFFFF"/>
        </w:rPr>
        <w:t xml:space="preserve"> in </w:t>
      </w:r>
      <w:proofErr w:type="spellStart"/>
      <w:r>
        <w:rPr>
          <w:rFonts w:ascii="Arial" w:hAnsi="Arial" w:cs="Arial"/>
          <w:b/>
          <w:bCs/>
          <w:color w:val="777777"/>
          <w:sz w:val="15"/>
          <w:szCs w:val="15"/>
          <w:shd w:val="clear" w:color="auto" w:fill="FFFFFF"/>
        </w:rPr>
        <w:t>patients</w:t>
      </w:r>
      <w:proofErr w:type="spellEnd"/>
      <w:r>
        <w:rPr>
          <w:rFonts w:ascii="Arial" w:hAnsi="Arial" w:cs="Arial"/>
          <w:b/>
          <w:bCs/>
          <w:color w:val="777777"/>
          <w:sz w:val="15"/>
          <w:szCs w:val="15"/>
          <w:shd w:val="clear" w:color="auto" w:fill="FFFFFF"/>
        </w:rPr>
        <w:t xml:space="preserve"> with COVID-19: a </w:t>
      </w:r>
      <w:proofErr w:type="spellStart"/>
      <w:r>
        <w:rPr>
          <w:rFonts w:ascii="Arial" w:hAnsi="Arial" w:cs="Arial"/>
          <w:b/>
          <w:bCs/>
          <w:color w:val="777777"/>
          <w:sz w:val="15"/>
          <w:szCs w:val="15"/>
          <w:shd w:val="clear" w:color="auto" w:fill="FFFFFF"/>
        </w:rPr>
        <w:t>prospective</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cohort</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study</w:t>
      </w:r>
      <w:proofErr w:type="spellEnd"/>
      <w:r>
        <w:rPr>
          <w:rFonts w:ascii="Arial" w:hAnsi="Arial" w:cs="Arial"/>
          <w:b/>
          <w:bCs/>
          <w:color w:val="777777"/>
          <w:sz w:val="15"/>
          <w:szCs w:val="15"/>
          <w:shd w:val="clear" w:color="auto" w:fill="FFFFFF"/>
        </w:rPr>
        <w:t>. Ann. Intern. Med., 2020; 173: 268–277</w:t>
      </w:r>
      <w:r>
        <w:rPr>
          <w:rFonts w:ascii="Arial" w:hAnsi="Arial" w:cs="Arial"/>
          <w:b/>
          <w:bCs/>
          <w:color w:val="777777"/>
          <w:sz w:val="15"/>
          <w:szCs w:val="15"/>
        </w:rPr>
        <w:br/>
      </w:r>
      <w:r>
        <w:rPr>
          <w:rFonts w:ascii="Arial" w:hAnsi="Arial" w:cs="Arial"/>
          <w:b/>
          <w:bCs/>
          <w:color w:val="777777"/>
          <w:sz w:val="15"/>
          <w:szCs w:val="15"/>
          <w:shd w:val="clear" w:color="auto" w:fill="FFFFFF"/>
        </w:rPr>
        <w:t xml:space="preserve">15. </w:t>
      </w:r>
      <w:proofErr w:type="spellStart"/>
      <w:r>
        <w:rPr>
          <w:rFonts w:ascii="Arial" w:hAnsi="Arial" w:cs="Arial"/>
          <w:b/>
          <w:bCs/>
          <w:color w:val="777777"/>
          <w:sz w:val="15"/>
          <w:szCs w:val="15"/>
          <w:shd w:val="clear" w:color="auto" w:fill="FFFFFF"/>
        </w:rPr>
        <w:t>Piazza</w:t>
      </w:r>
      <w:proofErr w:type="spellEnd"/>
      <w:r>
        <w:rPr>
          <w:rFonts w:ascii="Arial" w:hAnsi="Arial" w:cs="Arial"/>
          <w:b/>
          <w:bCs/>
          <w:color w:val="777777"/>
          <w:sz w:val="15"/>
          <w:szCs w:val="15"/>
          <w:shd w:val="clear" w:color="auto" w:fill="FFFFFF"/>
        </w:rPr>
        <w:t xml:space="preserve"> G., </w:t>
      </w:r>
      <w:proofErr w:type="spellStart"/>
      <w:r>
        <w:rPr>
          <w:rFonts w:ascii="Arial" w:hAnsi="Arial" w:cs="Arial"/>
          <w:b/>
          <w:bCs/>
          <w:color w:val="777777"/>
          <w:sz w:val="15"/>
          <w:szCs w:val="15"/>
          <w:shd w:val="clear" w:color="auto" w:fill="FFFFFF"/>
        </w:rPr>
        <w:t>Campia</w:t>
      </w:r>
      <w:proofErr w:type="spellEnd"/>
      <w:r>
        <w:rPr>
          <w:rFonts w:ascii="Arial" w:hAnsi="Arial" w:cs="Arial"/>
          <w:b/>
          <w:bCs/>
          <w:color w:val="777777"/>
          <w:sz w:val="15"/>
          <w:szCs w:val="15"/>
          <w:shd w:val="clear" w:color="auto" w:fill="FFFFFF"/>
        </w:rPr>
        <w:t xml:space="preserve"> U., Hurwitz S. i </w:t>
      </w:r>
      <w:proofErr w:type="spellStart"/>
      <w:r>
        <w:rPr>
          <w:rFonts w:ascii="Arial" w:hAnsi="Arial" w:cs="Arial"/>
          <w:b/>
          <w:bCs/>
          <w:color w:val="777777"/>
          <w:sz w:val="15"/>
          <w:szCs w:val="15"/>
          <w:shd w:val="clear" w:color="auto" w:fill="FFFFFF"/>
        </w:rPr>
        <w:t>wsp</w:t>
      </w:r>
      <w:proofErr w:type="spellEnd"/>
      <w:r>
        <w:rPr>
          <w:rFonts w:ascii="Arial" w:hAnsi="Arial" w:cs="Arial"/>
          <w:b/>
          <w:bCs/>
          <w:color w:val="777777"/>
          <w:sz w:val="15"/>
          <w:szCs w:val="15"/>
          <w:shd w:val="clear" w:color="auto" w:fill="FFFFFF"/>
        </w:rPr>
        <w:t xml:space="preserve">.: Registry of </w:t>
      </w:r>
      <w:proofErr w:type="spellStart"/>
      <w:r>
        <w:rPr>
          <w:rFonts w:ascii="Arial" w:hAnsi="Arial" w:cs="Arial"/>
          <w:b/>
          <w:bCs/>
          <w:color w:val="777777"/>
          <w:sz w:val="15"/>
          <w:szCs w:val="15"/>
          <w:shd w:val="clear" w:color="auto" w:fill="FFFFFF"/>
        </w:rPr>
        <w:t>arterial</w:t>
      </w:r>
      <w:proofErr w:type="spellEnd"/>
      <w:r>
        <w:rPr>
          <w:rFonts w:ascii="Arial" w:hAnsi="Arial" w:cs="Arial"/>
          <w:b/>
          <w:bCs/>
          <w:color w:val="777777"/>
          <w:sz w:val="15"/>
          <w:szCs w:val="15"/>
          <w:shd w:val="clear" w:color="auto" w:fill="FFFFFF"/>
        </w:rPr>
        <w:t xml:space="preserve"> and </w:t>
      </w:r>
      <w:proofErr w:type="spellStart"/>
      <w:r>
        <w:rPr>
          <w:rFonts w:ascii="Arial" w:hAnsi="Arial" w:cs="Arial"/>
          <w:b/>
          <w:bCs/>
          <w:color w:val="777777"/>
          <w:sz w:val="15"/>
          <w:szCs w:val="15"/>
          <w:shd w:val="clear" w:color="auto" w:fill="FFFFFF"/>
        </w:rPr>
        <w:t>venous</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thromboembolic</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complications</w:t>
      </w:r>
      <w:proofErr w:type="spellEnd"/>
      <w:r>
        <w:rPr>
          <w:rFonts w:ascii="Arial" w:hAnsi="Arial" w:cs="Arial"/>
          <w:b/>
          <w:bCs/>
          <w:color w:val="777777"/>
          <w:sz w:val="15"/>
          <w:szCs w:val="15"/>
          <w:shd w:val="clear" w:color="auto" w:fill="FFFFFF"/>
        </w:rPr>
        <w:t xml:space="preserve"> in </w:t>
      </w:r>
      <w:proofErr w:type="spellStart"/>
      <w:r>
        <w:rPr>
          <w:rFonts w:ascii="Arial" w:hAnsi="Arial" w:cs="Arial"/>
          <w:b/>
          <w:bCs/>
          <w:color w:val="777777"/>
          <w:sz w:val="15"/>
          <w:szCs w:val="15"/>
          <w:shd w:val="clear" w:color="auto" w:fill="FFFFFF"/>
        </w:rPr>
        <w:t>patients</w:t>
      </w:r>
      <w:proofErr w:type="spellEnd"/>
      <w:r>
        <w:rPr>
          <w:rFonts w:ascii="Arial" w:hAnsi="Arial" w:cs="Arial"/>
          <w:b/>
          <w:bCs/>
          <w:color w:val="777777"/>
          <w:sz w:val="15"/>
          <w:szCs w:val="15"/>
          <w:shd w:val="clear" w:color="auto" w:fill="FFFFFF"/>
        </w:rPr>
        <w:t xml:space="preserve"> with COVID-19. J. Am. </w:t>
      </w:r>
      <w:proofErr w:type="spellStart"/>
      <w:r>
        <w:rPr>
          <w:rFonts w:ascii="Arial" w:hAnsi="Arial" w:cs="Arial"/>
          <w:b/>
          <w:bCs/>
          <w:color w:val="777777"/>
          <w:sz w:val="15"/>
          <w:szCs w:val="15"/>
          <w:shd w:val="clear" w:color="auto" w:fill="FFFFFF"/>
        </w:rPr>
        <w:t>Coll</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Cardiol</w:t>
      </w:r>
      <w:proofErr w:type="spellEnd"/>
      <w:r>
        <w:rPr>
          <w:rFonts w:ascii="Arial" w:hAnsi="Arial" w:cs="Arial"/>
          <w:b/>
          <w:bCs/>
          <w:color w:val="777777"/>
          <w:sz w:val="15"/>
          <w:szCs w:val="15"/>
          <w:shd w:val="clear" w:color="auto" w:fill="FFFFFF"/>
        </w:rPr>
        <w:t>., 2020; 76: 2060–2072</w:t>
      </w:r>
      <w:r>
        <w:rPr>
          <w:rFonts w:ascii="Arial" w:hAnsi="Arial" w:cs="Arial"/>
          <w:b/>
          <w:bCs/>
          <w:color w:val="777777"/>
          <w:sz w:val="15"/>
          <w:szCs w:val="15"/>
        </w:rPr>
        <w:br/>
      </w:r>
      <w:r>
        <w:rPr>
          <w:rFonts w:ascii="Arial" w:hAnsi="Arial" w:cs="Arial"/>
          <w:b/>
          <w:bCs/>
          <w:color w:val="777777"/>
          <w:sz w:val="15"/>
          <w:szCs w:val="15"/>
          <w:shd w:val="clear" w:color="auto" w:fill="FFFFFF"/>
        </w:rPr>
        <w:t xml:space="preserve">16. </w:t>
      </w:r>
      <w:proofErr w:type="spellStart"/>
      <w:r>
        <w:rPr>
          <w:rFonts w:ascii="Arial" w:hAnsi="Arial" w:cs="Arial"/>
          <w:b/>
          <w:bCs/>
          <w:color w:val="777777"/>
          <w:sz w:val="15"/>
          <w:szCs w:val="15"/>
          <w:shd w:val="clear" w:color="auto" w:fill="FFFFFF"/>
        </w:rPr>
        <w:t>Lansbury</w:t>
      </w:r>
      <w:proofErr w:type="spellEnd"/>
      <w:r>
        <w:rPr>
          <w:rFonts w:ascii="Arial" w:hAnsi="Arial" w:cs="Arial"/>
          <w:b/>
          <w:bCs/>
          <w:color w:val="777777"/>
          <w:sz w:val="15"/>
          <w:szCs w:val="15"/>
          <w:shd w:val="clear" w:color="auto" w:fill="FFFFFF"/>
        </w:rPr>
        <w:t xml:space="preserve"> L., Lim B., </w:t>
      </w:r>
      <w:proofErr w:type="spellStart"/>
      <w:r>
        <w:rPr>
          <w:rFonts w:ascii="Arial" w:hAnsi="Arial" w:cs="Arial"/>
          <w:b/>
          <w:bCs/>
          <w:color w:val="777777"/>
          <w:sz w:val="15"/>
          <w:szCs w:val="15"/>
          <w:shd w:val="clear" w:color="auto" w:fill="FFFFFF"/>
        </w:rPr>
        <w:t>Baskaran</w:t>
      </w:r>
      <w:proofErr w:type="spellEnd"/>
      <w:r>
        <w:rPr>
          <w:rFonts w:ascii="Arial" w:hAnsi="Arial" w:cs="Arial"/>
          <w:b/>
          <w:bCs/>
          <w:color w:val="777777"/>
          <w:sz w:val="15"/>
          <w:szCs w:val="15"/>
          <w:shd w:val="clear" w:color="auto" w:fill="FFFFFF"/>
        </w:rPr>
        <w:t xml:space="preserve"> V., Lim W.S.: Co-</w:t>
      </w:r>
      <w:proofErr w:type="spellStart"/>
      <w:r>
        <w:rPr>
          <w:rFonts w:ascii="Arial" w:hAnsi="Arial" w:cs="Arial"/>
          <w:b/>
          <w:bCs/>
          <w:color w:val="777777"/>
          <w:sz w:val="15"/>
          <w:szCs w:val="15"/>
          <w:shd w:val="clear" w:color="auto" w:fill="FFFFFF"/>
        </w:rPr>
        <w:t>infections</w:t>
      </w:r>
      <w:proofErr w:type="spellEnd"/>
      <w:r>
        <w:rPr>
          <w:rFonts w:ascii="Arial" w:hAnsi="Arial" w:cs="Arial"/>
          <w:b/>
          <w:bCs/>
          <w:color w:val="777777"/>
          <w:sz w:val="15"/>
          <w:szCs w:val="15"/>
          <w:shd w:val="clear" w:color="auto" w:fill="FFFFFF"/>
        </w:rPr>
        <w:t xml:space="preserve"> in </w:t>
      </w:r>
      <w:proofErr w:type="spellStart"/>
      <w:r>
        <w:rPr>
          <w:rFonts w:ascii="Arial" w:hAnsi="Arial" w:cs="Arial"/>
          <w:b/>
          <w:bCs/>
          <w:color w:val="777777"/>
          <w:sz w:val="15"/>
          <w:szCs w:val="15"/>
          <w:shd w:val="clear" w:color="auto" w:fill="FFFFFF"/>
        </w:rPr>
        <w:t>people</w:t>
      </w:r>
      <w:proofErr w:type="spellEnd"/>
      <w:r>
        <w:rPr>
          <w:rFonts w:ascii="Arial" w:hAnsi="Arial" w:cs="Arial"/>
          <w:b/>
          <w:bCs/>
          <w:color w:val="777777"/>
          <w:sz w:val="15"/>
          <w:szCs w:val="15"/>
          <w:shd w:val="clear" w:color="auto" w:fill="FFFFFF"/>
        </w:rPr>
        <w:t xml:space="preserve"> with COVID-19: a </w:t>
      </w:r>
      <w:proofErr w:type="spellStart"/>
      <w:r>
        <w:rPr>
          <w:rFonts w:ascii="Arial" w:hAnsi="Arial" w:cs="Arial"/>
          <w:b/>
          <w:bCs/>
          <w:color w:val="777777"/>
          <w:sz w:val="15"/>
          <w:szCs w:val="15"/>
          <w:shd w:val="clear" w:color="auto" w:fill="FFFFFF"/>
        </w:rPr>
        <w:t>systematic</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review</w:t>
      </w:r>
      <w:proofErr w:type="spellEnd"/>
      <w:r>
        <w:rPr>
          <w:rFonts w:ascii="Arial" w:hAnsi="Arial" w:cs="Arial"/>
          <w:b/>
          <w:bCs/>
          <w:color w:val="777777"/>
          <w:sz w:val="15"/>
          <w:szCs w:val="15"/>
          <w:shd w:val="clear" w:color="auto" w:fill="FFFFFF"/>
        </w:rPr>
        <w:t xml:space="preserve"> and meta-</w:t>
      </w:r>
      <w:proofErr w:type="spellStart"/>
      <w:r>
        <w:rPr>
          <w:rFonts w:ascii="Arial" w:hAnsi="Arial" w:cs="Arial"/>
          <w:b/>
          <w:bCs/>
          <w:color w:val="777777"/>
          <w:sz w:val="15"/>
          <w:szCs w:val="15"/>
          <w:shd w:val="clear" w:color="auto" w:fill="FFFFFF"/>
        </w:rPr>
        <w:t>analysis</w:t>
      </w:r>
      <w:proofErr w:type="spellEnd"/>
      <w:r>
        <w:rPr>
          <w:rFonts w:ascii="Arial" w:hAnsi="Arial" w:cs="Arial"/>
          <w:b/>
          <w:bCs/>
          <w:color w:val="777777"/>
          <w:sz w:val="15"/>
          <w:szCs w:val="15"/>
          <w:shd w:val="clear" w:color="auto" w:fill="FFFFFF"/>
        </w:rPr>
        <w:t xml:space="preserve">. J. </w:t>
      </w:r>
      <w:proofErr w:type="spellStart"/>
      <w:r>
        <w:rPr>
          <w:rFonts w:ascii="Arial" w:hAnsi="Arial" w:cs="Arial"/>
          <w:b/>
          <w:bCs/>
          <w:color w:val="777777"/>
          <w:sz w:val="15"/>
          <w:szCs w:val="15"/>
          <w:shd w:val="clear" w:color="auto" w:fill="FFFFFF"/>
        </w:rPr>
        <w:t>Infect</w:t>
      </w:r>
      <w:proofErr w:type="spellEnd"/>
      <w:r>
        <w:rPr>
          <w:rFonts w:ascii="Arial" w:hAnsi="Arial" w:cs="Arial"/>
          <w:b/>
          <w:bCs/>
          <w:color w:val="777777"/>
          <w:sz w:val="15"/>
          <w:szCs w:val="15"/>
          <w:shd w:val="clear" w:color="auto" w:fill="FFFFFF"/>
        </w:rPr>
        <w:t>., 2020; 81: 266–275</w:t>
      </w:r>
      <w:r>
        <w:rPr>
          <w:rFonts w:ascii="Arial" w:hAnsi="Arial" w:cs="Arial"/>
          <w:b/>
          <w:bCs/>
          <w:color w:val="777777"/>
          <w:sz w:val="15"/>
          <w:szCs w:val="15"/>
        </w:rPr>
        <w:br/>
      </w:r>
      <w:r>
        <w:rPr>
          <w:rFonts w:ascii="Arial" w:hAnsi="Arial" w:cs="Arial"/>
          <w:b/>
          <w:bCs/>
          <w:color w:val="777777"/>
          <w:sz w:val="15"/>
          <w:szCs w:val="15"/>
          <w:shd w:val="clear" w:color="auto" w:fill="FFFFFF"/>
        </w:rPr>
        <w:t xml:space="preserve">17. </w:t>
      </w:r>
      <w:proofErr w:type="spellStart"/>
      <w:r>
        <w:rPr>
          <w:rFonts w:ascii="Arial" w:hAnsi="Arial" w:cs="Arial"/>
          <w:b/>
          <w:bCs/>
          <w:color w:val="777777"/>
          <w:sz w:val="15"/>
          <w:szCs w:val="15"/>
          <w:shd w:val="clear" w:color="auto" w:fill="FFFFFF"/>
        </w:rPr>
        <w:t>MacIntyre</w:t>
      </w:r>
      <w:proofErr w:type="spellEnd"/>
      <w:r>
        <w:rPr>
          <w:rFonts w:ascii="Arial" w:hAnsi="Arial" w:cs="Arial"/>
          <w:b/>
          <w:bCs/>
          <w:color w:val="777777"/>
          <w:sz w:val="15"/>
          <w:szCs w:val="15"/>
          <w:shd w:val="clear" w:color="auto" w:fill="FFFFFF"/>
        </w:rPr>
        <w:t xml:space="preserve"> C.R., </w:t>
      </w:r>
      <w:proofErr w:type="spellStart"/>
      <w:r>
        <w:rPr>
          <w:rFonts w:ascii="Arial" w:hAnsi="Arial" w:cs="Arial"/>
          <w:b/>
          <w:bCs/>
          <w:color w:val="777777"/>
          <w:sz w:val="15"/>
          <w:szCs w:val="15"/>
          <w:shd w:val="clear" w:color="auto" w:fill="FFFFFF"/>
        </w:rPr>
        <w:t>Chughtai</w:t>
      </w:r>
      <w:proofErr w:type="spellEnd"/>
      <w:r>
        <w:rPr>
          <w:rFonts w:ascii="Arial" w:hAnsi="Arial" w:cs="Arial"/>
          <w:b/>
          <w:bCs/>
          <w:color w:val="777777"/>
          <w:sz w:val="15"/>
          <w:szCs w:val="15"/>
          <w:shd w:val="clear" w:color="auto" w:fill="FFFFFF"/>
        </w:rPr>
        <w:t xml:space="preserve"> A.A., </w:t>
      </w:r>
      <w:proofErr w:type="spellStart"/>
      <w:r>
        <w:rPr>
          <w:rFonts w:ascii="Arial" w:hAnsi="Arial" w:cs="Arial"/>
          <w:b/>
          <w:bCs/>
          <w:color w:val="777777"/>
          <w:sz w:val="15"/>
          <w:szCs w:val="15"/>
          <w:shd w:val="clear" w:color="auto" w:fill="FFFFFF"/>
        </w:rPr>
        <w:t>Barnes</w:t>
      </w:r>
      <w:proofErr w:type="spellEnd"/>
      <w:r>
        <w:rPr>
          <w:rFonts w:ascii="Arial" w:hAnsi="Arial" w:cs="Arial"/>
          <w:b/>
          <w:bCs/>
          <w:color w:val="777777"/>
          <w:sz w:val="15"/>
          <w:szCs w:val="15"/>
          <w:shd w:val="clear" w:color="auto" w:fill="FFFFFF"/>
        </w:rPr>
        <w:t xml:space="preserve"> M. i </w:t>
      </w:r>
      <w:proofErr w:type="spellStart"/>
      <w:r>
        <w:rPr>
          <w:rFonts w:ascii="Arial" w:hAnsi="Arial" w:cs="Arial"/>
          <w:b/>
          <w:bCs/>
          <w:color w:val="777777"/>
          <w:sz w:val="15"/>
          <w:szCs w:val="15"/>
          <w:shd w:val="clear" w:color="auto" w:fill="FFFFFF"/>
        </w:rPr>
        <w:t>wsp</w:t>
      </w:r>
      <w:proofErr w:type="spellEnd"/>
      <w:r>
        <w:rPr>
          <w:rFonts w:ascii="Arial" w:hAnsi="Arial" w:cs="Arial"/>
          <w:b/>
          <w:bCs/>
          <w:color w:val="777777"/>
          <w:sz w:val="15"/>
          <w:szCs w:val="15"/>
          <w:shd w:val="clear" w:color="auto" w:fill="FFFFFF"/>
        </w:rPr>
        <w:t xml:space="preserve">.: The role of pneumonia and </w:t>
      </w:r>
      <w:proofErr w:type="spellStart"/>
      <w:r>
        <w:rPr>
          <w:rFonts w:ascii="Arial" w:hAnsi="Arial" w:cs="Arial"/>
          <w:b/>
          <w:bCs/>
          <w:color w:val="777777"/>
          <w:sz w:val="15"/>
          <w:szCs w:val="15"/>
          <w:shd w:val="clear" w:color="auto" w:fill="FFFFFF"/>
        </w:rPr>
        <w:t>secondary</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bacterial</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infection</w:t>
      </w:r>
      <w:proofErr w:type="spellEnd"/>
      <w:r>
        <w:rPr>
          <w:rFonts w:ascii="Arial" w:hAnsi="Arial" w:cs="Arial"/>
          <w:b/>
          <w:bCs/>
          <w:color w:val="777777"/>
          <w:sz w:val="15"/>
          <w:szCs w:val="15"/>
          <w:shd w:val="clear" w:color="auto" w:fill="FFFFFF"/>
        </w:rPr>
        <w:t xml:space="preserve"> in </w:t>
      </w:r>
      <w:proofErr w:type="spellStart"/>
      <w:r>
        <w:rPr>
          <w:rFonts w:ascii="Arial" w:hAnsi="Arial" w:cs="Arial"/>
          <w:b/>
          <w:bCs/>
          <w:color w:val="777777"/>
          <w:sz w:val="15"/>
          <w:szCs w:val="15"/>
          <w:shd w:val="clear" w:color="auto" w:fill="FFFFFF"/>
        </w:rPr>
        <w:t>fatal</w:t>
      </w:r>
      <w:proofErr w:type="spellEnd"/>
      <w:r>
        <w:rPr>
          <w:rFonts w:ascii="Arial" w:hAnsi="Arial" w:cs="Arial"/>
          <w:b/>
          <w:bCs/>
          <w:color w:val="777777"/>
          <w:sz w:val="15"/>
          <w:szCs w:val="15"/>
          <w:shd w:val="clear" w:color="auto" w:fill="FFFFFF"/>
        </w:rPr>
        <w:t xml:space="preserve"> and </w:t>
      </w:r>
      <w:proofErr w:type="spellStart"/>
      <w:r>
        <w:rPr>
          <w:rFonts w:ascii="Arial" w:hAnsi="Arial" w:cs="Arial"/>
          <w:b/>
          <w:bCs/>
          <w:color w:val="777777"/>
          <w:sz w:val="15"/>
          <w:szCs w:val="15"/>
          <w:shd w:val="clear" w:color="auto" w:fill="FFFFFF"/>
        </w:rPr>
        <w:t>serious</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outcomes</w:t>
      </w:r>
      <w:proofErr w:type="spellEnd"/>
      <w:r>
        <w:rPr>
          <w:rFonts w:ascii="Arial" w:hAnsi="Arial" w:cs="Arial"/>
          <w:b/>
          <w:bCs/>
          <w:color w:val="777777"/>
          <w:sz w:val="15"/>
          <w:szCs w:val="15"/>
          <w:shd w:val="clear" w:color="auto" w:fill="FFFFFF"/>
        </w:rPr>
        <w:t xml:space="preserve"> of </w:t>
      </w:r>
      <w:proofErr w:type="spellStart"/>
      <w:r>
        <w:rPr>
          <w:rFonts w:ascii="Arial" w:hAnsi="Arial" w:cs="Arial"/>
          <w:b/>
          <w:bCs/>
          <w:color w:val="777777"/>
          <w:sz w:val="15"/>
          <w:szCs w:val="15"/>
          <w:shd w:val="clear" w:color="auto" w:fill="FFFFFF"/>
        </w:rPr>
        <w:t>pandemic</w:t>
      </w:r>
      <w:proofErr w:type="spellEnd"/>
      <w:r>
        <w:rPr>
          <w:rFonts w:ascii="Arial" w:hAnsi="Arial" w:cs="Arial"/>
          <w:b/>
          <w:bCs/>
          <w:color w:val="777777"/>
          <w:sz w:val="15"/>
          <w:szCs w:val="15"/>
          <w:shd w:val="clear" w:color="auto" w:fill="FFFFFF"/>
        </w:rPr>
        <w:t xml:space="preserve"> influenza a(H1N1)pdm09. BMC </w:t>
      </w:r>
      <w:proofErr w:type="spellStart"/>
      <w:r>
        <w:rPr>
          <w:rFonts w:ascii="Arial" w:hAnsi="Arial" w:cs="Arial"/>
          <w:b/>
          <w:bCs/>
          <w:color w:val="777777"/>
          <w:sz w:val="15"/>
          <w:szCs w:val="15"/>
          <w:shd w:val="clear" w:color="auto" w:fill="FFFFFF"/>
        </w:rPr>
        <w:t>Infect</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Dis</w:t>
      </w:r>
      <w:proofErr w:type="spellEnd"/>
      <w:r>
        <w:rPr>
          <w:rFonts w:ascii="Arial" w:hAnsi="Arial" w:cs="Arial"/>
          <w:b/>
          <w:bCs/>
          <w:color w:val="777777"/>
          <w:sz w:val="15"/>
          <w:szCs w:val="15"/>
          <w:shd w:val="clear" w:color="auto" w:fill="FFFFFF"/>
        </w:rPr>
        <w:t>., 2018; https://doi.org/10.1186/s12879-018-3548-0</w:t>
      </w:r>
    </w:p>
    <w:sectPr w:rsidR="00496D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BED"/>
    <w:rsid w:val="0003455B"/>
    <w:rsid w:val="00496D5F"/>
    <w:rsid w:val="00553C9C"/>
    <w:rsid w:val="00993B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4ECAD"/>
  <w15:chartTrackingRefBased/>
  <w15:docId w15:val="{B91CDECF-34C4-4E91-A4AD-5FF56BA9E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993B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993BE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semiHidden/>
    <w:unhideWhenUsed/>
    <w:qFormat/>
    <w:rsid w:val="00553C9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93BED"/>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993BED"/>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993BED"/>
    <w:rPr>
      <w:b/>
      <w:bCs/>
    </w:rPr>
  </w:style>
  <w:style w:type="character" w:styleId="Hipercze">
    <w:name w:val="Hyperlink"/>
    <w:basedOn w:val="Domylnaczcionkaakapitu"/>
    <w:uiPriority w:val="99"/>
    <w:semiHidden/>
    <w:unhideWhenUsed/>
    <w:rsid w:val="00993BED"/>
    <w:rPr>
      <w:color w:val="0000FF"/>
      <w:u w:val="single"/>
    </w:rPr>
  </w:style>
  <w:style w:type="paragraph" w:styleId="NormalnyWeb">
    <w:name w:val="Normal (Web)"/>
    <w:basedOn w:val="Normalny"/>
    <w:uiPriority w:val="99"/>
    <w:semiHidden/>
    <w:unhideWhenUsed/>
    <w:rsid w:val="00993BE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semiHidden/>
    <w:rsid w:val="00553C9C"/>
    <w:rPr>
      <w:rFonts w:asciiTheme="majorHAnsi" w:eastAsiaTheme="majorEastAsia" w:hAnsiTheme="majorHAnsi" w:cstheme="majorBidi"/>
      <w:i/>
      <w:iCs/>
      <w:color w:val="2F5496" w:themeColor="accent1" w:themeShade="BF"/>
    </w:rPr>
  </w:style>
  <w:style w:type="character" w:customStyle="1" w:styleId="nazwautor">
    <w:name w:val="nazwautor"/>
    <w:basedOn w:val="Domylnaczcionkaakapitu"/>
    <w:rsid w:val="00034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366610">
      <w:bodyDiv w:val="1"/>
      <w:marLeft w:val="0"/>
      <w:marRight w:val="0"/>
      <w:marTop w:val="0"/>
      <w:marBottom w:val="0"/>
      <w:divBdr>
        <w:top w:val="none" w:sz="0" w:space="0" w:color="auto"/>
        <w:left w:val="none" w:sz="0" w:space="0" w:color="auto"/>
        <w:bottom w:val="none" w:sz="0" w:space="0" w:color="auto"/>
        <w:right w:val="none" w:sz="0" w:space="0" w:color="auto"/>
      </w:divBdr>
      <w:divsChild>
        <w:div w:id="1851942925">
          <w:marLeft w:val="0"/>
          <w:marRight w:val="0"/>
          <w:marTop w:val="0"/>
          <w:marBottom w:val="0"/>
          <w:divBdr>
            <w:top w:val="none" w:sz="0" w:space="0" w:color="auto"/>
            <w:left w:val="none" w:sz="0" w:space="0" w:color="auto"/>
            <w:bottom w:val="none" w:sz="0" w:space="0" w:color="auto"/>
            <w:right w:val="none" w:sz="0" w:space="0" w:color="auto"/>
          </w:divBdr>
          <w:divsChild>
            <w:div w:id="998655999">
              <w:marLeft w:val="0"/>
              <w:marRight w:val="0"/>
              <w:marTop w:val="0"/>
              <w:marBottom w:val="0"/>
              <w:divBdr>
                <w:top w:val="none" w:sz="0" w:space="0" w:color="auto"/>
                <w:left w:val="none" w:sz="0" w:space="0" w:color="auto"/>
                <w:bottom w:val="none" w:sz="0" w:space="0" w:color="auto"/>
                <w:right w:val="none" w:sz="0" w:space="0" w:color="auto"/>
              </w:divBdr>
            </w:div>
            <w:div w:id="839277244">
              <w:marLeft w:val="0"/>
              <w:marRight w:val="0"/>
              <w:marTop w:val="0"/>
              <w:marBottom w:val="0"/>
              <w:divBdr>
                <w:top w:val="none" w:sz="0" w:space="0" w:color="auto"/>
                <w:left w:val="none" w:sz="0" w:space="0" w:color="auto"/>
                <w:bottom w:val="none" w:sz="0" w:space="0" w:color="auto"/>
                <w:right w:val="none" w:sz="0" w:space="0" w:color="auto"/>
              </w:divBdr>
            </w:div>
          </w:divsChild>
        </w:div>
        <w:div w:id="500897613">
          <w:marLeft w:val="0"/>
          <w:marRight w:val="0"/>
          <w:marTop w:val="0"/>
          <w:marBottom w:val="0"/>
          <w:divBdr>
            <w:top w:val="none" w:sz="0" w:space="0" w:color="auto"/>
            <w:left w:val="none" w:sz="0" w:space="0" w:color="auto"/>
            <w:bottom w:val="none" w:sz="0" w:space="0" w:color="auto"/>
            <w:right w:val="none" w:sz="0" w:space="0" w:color="auto"/>
          </w:divBdr>
          <w:divsChild>
            <w:div w:id="1493108293">
              <w:marLeft w:val="0"/>
              <w:marRight w:val="0"/>
              <w:marTop w:val="0"/>
              <w:marBottom w:val="0"/>
              <w:divBdr>
                <w:top w:val="none" w:sz="0" w:space="0" w:color="auto"/>
                <w:left w:val="none" w:sz="0" w:space="0" w:color="auto"/>
                <w:bottom w:val="none" w:sz="0" w:space="0" w:color="auto"/>
                <w:right w:val="none" w:sz="0" w:space="0" w:color="auto"/>
              </w:divBdr>
            </w:div>
          </w:divsChild>
        </w:div>
        <w:div w:id="1707872459">
          <w:marLeft w:val="0"/>
          <w:marRight w:val="0"/>
          <w:marTop w:val="0"/>
          <w:marBottom w:val="0"/>
          <w:divBdr>
            <w:top w:val="none" w:sz="0" w:space="0" w:color="auto"/>
            <w:left w:val="none" w:sz="0" w:space="0" w:color="auto"/>
            <w:bottom w:val="none" w:sz="0" w:space="0" w:color="auto"/>
            <w:right w:val="none" w:sz="0" w:space="0" w:color="auto"/>
          </w:divBdr>
          <w:divsChild>
            <w:div w:id="137455462">
              <w:marLeft w:val="0"/>
              <w:marRight w:val="0"/>
              <w:marTop w:val="0"/>
              <w:marBottom w:val="0"/>
              <w:divBdr>
                <w:top w:val="none" w:sz="0" w:space="0" w:color="auto"/>
                <w:left w:val="none" w:sz="0" w:space="0" w:color="auto"/>
                <w:bottom w:val="none" w:sz="0" w:space="0" w:color="auto"/>
                <w:right w:val="none" w:sz="0" w:space="0" w:color="auto"/>
              </w:divBdr>
              <w:divsChild>
                <w:div w:id="214087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970256">
      <w:bodyDiv w:val="1"/>
      <w:marLeft w:val="0"/>
      <w:marRight w:val="0"/>
      <w:marTop w:val="0"/>
      <w:marBottom w:val="0"/>
      <w:divBdr>
        <w:top w:val="none" w:sz="0" w:space="0" w:color="auto"/>
        <w:left w:val="none" w:sz="0" w:space="0" w:color="auto"/>
        <w:bottom w:val="none" w:sz="0" w:space="0" w:color="auto"/>
        <w:right w:val="none" w:sz="0" w:space="0" w:color="auto"/>
      </w:divBdr>
    </w:div>
    <w:div w:id="1779834552">
      <w:bodyDiv w:val="1"/>
      <w:marLeft w:val="0"/>
      <w:marRight w:val="0"/>
      <w:marTop w:val="0"/>
      <w:marBottom w:val="0"/>
      <w:divBdr>
        <w:top w:val="none" w:sz="0" w:space="0" w:color="auto"/>
        <w:left w:val="none" w:sz="0" w:space="0" w:color="auto"/>
        <w:bottom w:val="none" w:sz="0" w:space="0" w:color="auto"/>
        <w:right w:val="none" w:sz="0" w:space="0" w:color="auto"/>
      </w:divBdr>
      <w:divsChild>
        <w:div w:id="1546259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p.pl/covid19/" TargetMode="External"/><Relationship Id="rId5" Type="http://schemas.openxmlformats.org/officeDocument/2006/relationships/hyperlink" Target="https://www.mp.pl/covid19/zalecenia/248659,zalecenia-diagnostyki-i-terapii-zakazen-sars-cov-2-polskiego-towarzystwa-epidemiologow-i-lekarzy-chorob-zakaznych" TargetMode="External"/><Relationship Id="rId4" Type="http://schemas.openxmlformats.org/officeDocument/2006/relationships/hyperlink" Target="https://www.mp.pl/covid19/leczenie/251451,leczenie-covid-19-w-swietle-aktualnych-wytycznych"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5622</Words>
  <Characters>33735</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Krauss</dc:creator>
  <cp:keywords/>
  <dc:description/>
  <cp:lastModifiedBy>Hanna Krauss</cp:lastModifiedBy>
  <cp:revision>3</cp:revision>
  <dcterms:created xsi:type="dcterms:W3CDTF">2020-11-29T16:02:00Z</dcterms:created>
  <dcterms:modified xsi:type="dcterms:W3CDTF">2020-11-29T16:04:00Z</dcterms:modified>
</cp:coreProperties>
</file>