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03" w:rsidRPr="00714903" w:rsidRDefault="00714903" w:rsidP="0071490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71490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Jakie leczenie przeciwwirusowe i immunomodulujące zaleca się obecnie u chorych na COVID-19?</w:t>
      </w:r>
    </w:p>
    <w:p w:rsidR="00714903" w:rsidRPr="00714903" w:rsidRDefault="00714903" w:rsidP="007149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bookmarkStart w:id="0" w:name="_GoBack"/>
      <w:bookmarkEnd w:id="0"/>
      <w:r w:rsidRPr="00714903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09.04.2021</w:t>
      </w:r>
    </w:p>
    <w:p w:rsidR="00714903" w:rsidRPr="00714903" w:rsidRDefault="00714903" w:rsidP="007149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71490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dr n. med. Agnieszka Wroczyńska, dr n. med. Anna Kuna</w:t>
      </w:r>
      <w:r w:rsidRPr="0071490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  <w:t>Klinika Chorób Tropikalnych i Pasożytniczych, Instytut Medycyny Morskiej i Tropikalnej w Gdyni, Gdański Uniwersytet Medyczny</w:t>
      </w:r>
    </w:p>
    <w:p w:rsidR="00714903" w:rsidRPr="00714903" w:rsidRDefault="00714903" w:rsidP="007149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14903">
        <w:rPr>
          <w:rFonts w:ascii="Arial" w:eastAsia="Times New Roman" w:hAnsi="Arial" w:cs="Arial"/>
          <w:b/>
          <w:bCs/>
          <w:color w:val="333333"/>
          <w:sz w:val="15"/>
          <w:szCs w:val="15"/>
          <w:lang w:eastAsia="pl-PL"/>
        </w:rPr>
        <w:t>Jak cytować</w:t>
      </w:r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: Wroczyńska A., Kuna A., Ściubisz M., Rymer W.,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Goncerz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G.,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Mrukowicz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J.: COVID-19 – co nowego w leczeniu i profilaktyce. Med.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Prakt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., 2021; 4: 122–140</w:t>
      </w:r>
    </w:p>
    <w:p w:rsidR="00714903" w:rsidRPr="00714903" w:rsidRDefault="00714903" w:rsidP="007149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14903">
        <w:rPr>
          <w:rFonts w:ascii="Arial" w:eastAsia="Times New Roman" w:hAnsi="Arial" w:cs="Arial"/>
          <w:b/>
          <w:bCs/>
          <w:color w:val="333333"/>
          <w:sz w:val="15"/>
          <w:szCs w:val="15"/>
          <w:lang w:eastAsia="pl-PL"/>
        </w:rPr>
        <w:t>Skróty</w:t>
      </w:r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: ACE2 –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konwertaza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angiotensyny typu 2, ACR – American College of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Rheumatology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, ADE (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antibody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-dependent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enhancement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) – wzmocnienie zakażenia zależne od przeciwciał,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AOTMiT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– Agencja Oceny Technologii Medycznych i Taryfikacji, CDC –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Centers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for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Disease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Control and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Prevention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, COVID-19 (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coronavirus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disease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) – choroba spowodowana przez SARS-CoV-2, CVST (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cerebral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venous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sinus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thrombosis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) – zakrzepica zatok żylnych mózgu, DIC (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disseminated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intravascular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coagulation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) – zespół rozsianego krzepnięcia wewnątrznaczyniowego, ECDC –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European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Centre for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Disease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Prevention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and Control, EMA –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European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Medicines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Agency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, EUS (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emergency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use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authorization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) – zezwolenie na użycie (leku) w sytuacji wyjątkowej, GKS –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glikokortykosteroid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(y), HFNOT (</w:t>
      </w:r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high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flow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nasal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oxygen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therapy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) – wysokoprzepływowa tlenoterapia donosowa, IL-6 – interleukina 6, IVIG (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intravenous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immune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globulin</w:t>
      </w:r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) – immunoglobuliny dożylne, JAK (</w:t>
      </w:r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Janus-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activated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kinases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) – kinazy janusowe, LAMP (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loop-mediated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isothermal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amplification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) –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izotermalna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amplifikacja DNA za pośrednictwem pętli,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mAbs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(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monoclonal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antibodies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) – przeciwciała monoklonalne,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nAbs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(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neutralizing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antibody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) – przeciwciała neutralizujące, NIH –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National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Institutes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of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Health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, OIT – oddział intensywnej terapii, PRAC –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Pharmacovigilance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Risk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Assessment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Committee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(Komitet ds. Bezpieczeństwa Farmakoterapii i Oceny Ryzyka),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PTEiLChZ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– Polskie Towarzystwo Epidemiologów i Lekarzy Chorób Zakaźnych, RADT (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rapid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antigen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detection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tests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) – szybkie diagnostyczne testy antygenowe, RBD (</w:t>
      </w:r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receptor-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binding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domain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) – domena wiążąca receptor, RCT (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randomized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controlled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trial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) – badanie z randomizacją, RT-PCR (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reverse-transcriptase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polymerase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chain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reaction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) – reakcja odwrotnej transkrypcji i reakcja łańcuchowa polimerazy, SARS-CoV-2 (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severe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acute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respiratory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syndrome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coronavirus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2</w:t>
      </w:r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) – </w:t>
      </w:r>
      <w:proofErr w:type="spellStart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koronawirus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zespołu ciężkiej niewydolności oddechowej typu 2, SpO</w:t>
      </w:r>
      <w:r w:rsidRPr="00714903">
        <w:rPr>
          <w:rFonts w:ascii="Arial" w:eastAsia="Times New Roman" w:hAnsi="Arial" w:cs="Arial"/>
          <w:color w:val="333333"/>
          <w:sz w:val="12"/>
          <w:szCs w:val="12"/>
          <w:vertAlign w:val="subscript"/>
          <w:lang w:eastAsia="pl-PL"/>
        </w:rPr>
        <w:t>2</w:t>
      </w:r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 – wysycenie krwi tętniczej tlenem, TACO (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transfusion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associated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circulatory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overload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) – poprzetoczeniowe przeciążenie układu krążenia, TNF (</w:t>
      </w:r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tumor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necrosis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factor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) – czynnik martwicy nowotworów, TRALI (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transfusion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related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acute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lung</w:t>
      </w:r>
      <w:proofErr w:type="spellEnd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 xml:space="preserve"> </w:t>
      </w:r>
      <w:proofErr w:type="spellStart"/>
      <w:r w:rsidRPr="00714903">
        <w:rPr>
          <w:rFonts w:ascii="Arial" w:eastAsia="Times New Roman" w:hAnsi="Arial" w:cs="Arial"/>
          <w:i/>
          <w:iCs/>
          <w:color w:val="333333"/>
          <w:sz w:val="15"/>
          <w:szCs w:val="15"/>
          <w:lang w:eastAsia="pl-PL"/>
        </w:rPr>
        <w:t>injury</w:t>
      </w:r>
      <w:proofErr w:type="spellEnd"/>
      <w:r w:rsidRPr="0071490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) – ostre poprzetoczeniowe uszkodzenie płuc</w:t>
      </w:r>
    </w:p>
    <w:p w:rsidR="00714903" w:rsidRPr="00714903" w:rsidRDefault="00714903" w:rsidP="0071490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Jeśli nie zaznaczono inaczej, informacje i zalecenia przedstawione w niniejszym artykule oparto na danych zebranych do 25 marca br. Informacje dotyczące pandemii COVID-19 są aktualizowane online w serwisie </w:t>
      </w:r>
      <w:hyperlink r:id="rId5" w:history="1">
        <w:r w:rsidRPr="00714903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>www.mp.pl/covid19</w:t>
        </w:r>
      </w:hyperlink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</w:t>
      </w:r>
    </w:p>
    <w:p w:rsidR="00714903" w:rsidRPr="00714903" w:rsidRDefault="00714903" w:rsidP="007149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71490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Jakie leczenie przeciwwirusowe i immunomodulujące zaleca się obecnie u chorych na COVID-19?</w:t>
      </w:r>
    </w:p>
    <w:p w:rsidR="00714903" w:rsidRPr="00714903" w:rsidRDefault="00714903" w:rsidP="007149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Po ponad roku utrzymywania się pandemii leczenie COVID-19 wciąż ma charakter głównie objawowy. Nadal trwają duże, wieloośrodkowe badania nad różnymi terapiami przeciwwirusowymi i immunomodulującymi, w tym badanie RECOVERY koordynowane w Wielkiej Brytanii, badanie SOLIDARITY koordynowane przez Światową Organizację Zdrowia (WHO) oraz badanie ACTT koordynowane przez amerykańskie </w:t>
      </w:r>
      <w:proofErr w:type="spellStart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National</w:t>
      </w:r>
      <w:proofErr w:type="spellEnd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Institutes</w:t>
      </w:r>
      <w:proofErr w:type="spellEnd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of </w:t>
      </w:r>
      <w:proofErr w:type="spellStart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Health</w:t>
      </w:r>
      <w:proofErr w:type="spellEnd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(NIH) i badanie REMAP-CAP. Nie ma ustalonych uniwersalnych schematów leczenia przyczynowego, niemniej jednak zgromadzone dane pozwoliły w roku 2021 na aktualizację zaleceń terapeutycznych w niektórych grupach chorych, wyróżnionych ze względu na przebieg zakażenia SARS-CoV-2 lub obecność czynników ryzyka progresji choroby u chorych na COVID-19.</w:t>
      </w:r>
    </w:p>
    <w:p w:rsidR="00714903" w:rsidRPr="00714903" w:rsidRDefault="00714903" w:rsidP="007149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Zgodnie z aktualnym stanowiskiem NIH (stan na 24.03.2021) </w:t>
      </w:r>
      <w:r w:rsidRPr="0071490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w określonych sytuacjach u chorych na COVID-19 zaleca się stosowanie takich leków, jak: </w:t>
      </w:r>
      <w:proofErr w:type="spellStart"/>
      <w:r w:rsidRPr="0071490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glikokortykosteroidy</w:t>
      </w:r>
      <w:proofErr w:type="spellEnd"/>
      <w:r w:rsidRPr="0071490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(GKS), </w:t>
      </w:r>
      <w:proofErr w:type="spellStart"/>
      <w:r w:rsidRPr="0071490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remdesiwir</w:t>
      </w:r>
      <w:proofErr w:type="spellEnd"/>
      <w:r w:rsidRPr="0071490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, </w:t>
      </w:r>
      <w:proofErr w:type="spellStart"/>
      <w:r w:rsidRPr="0071490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tocilizumab</w:t>
      </w:r>
      <w:proofErr w:type="spellEnd"/>
      <w:r w:rsidRPr="0071490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, </w:t>
      </w:r>
      <w:proofErr w:type="spellStart"/>
      <w:r w:rsidRPr="0071490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baricytynib</w:t>
      </w:r>
      <w:proofErr w:type="spellEnd"/>
      <w:r w:rsidRPr="0071490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i przeciwciała monoklonalne</w:t>
      </w:r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(</w:t>
      </w:r>
      <w:proofErr w:type="spellStart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fldChar w:fldCharType="begin"/>
      </w:r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instrText xml:space="preserve"> HYPERLINK "https://www.mp.pl/covid19/leczenie/263702,jakie-znaczenie-maja-przeciwciala-monoklonalne-w-leczeniu-covid-19" </w:instrText>
      </w:r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fldChar w:fldCharType="separate"/>
      </w:r>
      <w:r w:rsidRPr="00714903">
        <w:rPr>
          <w:rFonts w:ascii="Verdana" w:eastAsia="Times New Roman" w:hAnsi="Verdana" w:cs="Times New Roman"/>
          <w:color w:val="00477F"/>
          <w:sz w:val="18"/>
          <w:szCs w:val="18"/>
          <w:u w:val="single"/>
          <w:lang w:eastAsia="pl-PL"/>
        </w:rPr>
        <w:t>bamlaniwimab</w:t>
      </w:r>
      <w:proofErr w:type="spellEnd"/>
      <w:r w:rsidRPr="00714903">
        <w:rPr>
          <w:rFonts w:ascii="Verdana" w:eastAsia="Times New Roman" w:hAnsi="Verdana" w:cs="Times New Roman"/>
          <w:color w:val="00477F"/>
          <w:sz w:val="18"/>
          <w:szCs w:val="18"/>
          <w:u w:val="single"/>
          <w:lang w:eastAsia="pl-PL"/>
        </w:rPr>
        <w:t xml:space="preserve"> z </w:t>
      </w:r>
      <w:proofErr w:type="spellStart"/>
      <w:r w:rsidRPr="00714903">
        <w:rPr>
          <w:rFonts w:ascii="Verdana" w:eastAsia="Times New Roman" w:hAnsi="Verdana" w:cs="Times New Roman"/>
          <w:color w:val="00477F"/>
          <w:sz w:val="18"/>
          <w:szCs w:val="18"/>
          <w:u w:val="single"/>
          <w:lang w:eastAsia="pl-PL"/>
        </w:rPr>
        <w:t>etesewimabem</w:t>
      </w:r>
      <w:proofErr w:type="spellEnd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fldChar w:fldCharType="end"/>
      </w:r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).</w:t>
      </w:r>
      <w:r w:rsidRPr="0071490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1</w:t>
      </w:r>
    </w:p>
    <w:p w:rsidR="00714903" w:rsidRPr="00714903" w:rsidRDefault="00714903" w:rsidP="007149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Szczegółowe </w:t>
      </w:r>
      <w:hyperlink r:id="rId6" w:history="1">
        <w:r w:rsidRPr="00714903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>zalecenia dotyczące zastosowania </w:t>
        </w:r>
        <w:proofErr w:type="spellStart"/>
        <w:r w:rsidRPr="00714903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>remdesiwiru</w:t>
        </w:r>
        <w:proofErr w:type="spellEnd"/>
        <w:r w:rsidRPr="00714903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 xml:space="preserve">, </w:t>
        </w:r>
        <w:proofErr w:type="spellStart"/>
        <w:r w:rsidRPr="00714903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>deksametazonu</w:t>
        </w:r>
        <w:proofErr w:type="spellEnd"/>
        <w:r w:rsidRPr="00714903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 xml:space="preserve"> i innych GKS u chorych na COVID-19 przedstawiono w nr. 1/2021 „Medycyny Praktycznej”</w:t>
        </w:r>
      </w:hyperlink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 Podsumowanie aktualnych zaleceń, oparte na wytycznych NIH, zawiera tabela 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2136"/>
        <w:gridCol w:w="1994"/>
        <w:gridCol w:w="1940"/>
        <w:gridCol w:w="1567"/>
      </w:tblGrid>
      <w:tr w:rsidR="00714903" w:rsidRPr="00714903" w:rsidTr="00714903">
        <w:trPr>
          <w:tblCellSpacing w:w="15" w:type="dxa"/>
        </w:trPr>
        <w:tc>
          <w:tcPr>
            <w:tcW w:w="0" w:type="auto"/>
            <w:gridSpan w:val="5"/>
            <w:shd w:val="clear" w:color="auto" w:fill="00C2C9"/>
            <w:vAlign w:val="center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7149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lastRenderedPageBreak/>
              <w:t>Tabela 1. Leki przeciwwirusowe i immunomodulujące zalecane do stosowania w wybranych grupach chorych na COVID-19</w:t>
            </w:r>
            <w:r w:rsidRPr="00714903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vertAlign w:val="superscript"/>
                <w:lang w:eastAsia="pl-PL"/>
              </w:rPr>
              <w:t>a</w:t>
            </w:r>
          </w:p>
        </w:tc>
      </w:tr>
      <w:tr w:rsidR="00714903" w:rsidRPr="00714903" w:rsidTr="00714903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Lek</w:t>
            </w:r>
          </w:p>
        </w:tc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Dawkowanie u </w:t>
            </w:r>
            <w:proofErr w:type="spellStart"/>
            <w:r w:rsidRPr="0071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dorosłych</w:t>
            </w:r>
            <w:r w:rsidRPr="007149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pl-PL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1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Wskazania</w:t>
            </w:r>
            <w:r w:rsidRPr="007149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pl-PL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714903" w:rsidRPr="00714903" w:rsidTr="00714903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remdesiwir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przeciwwirusowe (hamuje replikację wirusa przez wpływ na wirusową polimerazę RNA zależną od RNA)</w:t>
            </w:r>
          </w:p>
        </w:tc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dnia 200 mg we wlewie </w:t>
            </w:r>
            <w:proofErr w:type="spellStart"/>
            <w:r w:rsidRPr="00714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i.v</w:t>
            </w:r>
            <w:proofErr w:type="spellEnd"/>
            <w:r w:rsidRPr="00714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przez 30–120 min, następnie 100 mg </w:t>
            </w:r>
            <w:proofErr w:type="spellStart"/>
            <w:r w:rsidRPr="00714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i.v</w:t>
            </w:r>
            <w:proofErr w:type="spellEnd"/>
            <w:r w:rsidRPr="00714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co 24 h przez kolejne 4 dni; jeśli nie zaobserwowano zadowalającej poprawy oraz u pacjentów, u których stosuje się wentylację mechaniczną lub ECMO leczenie należy kontynuować do 10 dni od podania pierwszej dawki</w:t>
            </w:r>
          </w:p>
        </w:tc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chorzy hospitalizowani, wymagający tlenoterapii</w:t>
            </w: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zastosowanie </w:t>
            </w:r>
            <w:proofErr w:type="spellStart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remdesiwiru</w:t>
            </w:r>
            <w:proofErr w:type="spellEnd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może być korzystne także u chorych hospitalizowanych niewymagających tlenoterapii, w razie dużego ryzyka progresji choroby</w:t>
            </w:r>
          </w:p>
        </w:tc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zarejestrowany przez EMA; WHO opublikowała warunkowe zalecenie, aby nie stosować </w:t>
            </w:r>
            <w:proofErr w:type="spellStart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remdesiwiru</w:t>
            </w:r>
            <w:proofErr w:type="spellEnd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 chorych na COVID-19</w:t>
            </w:r>
          </w:p>
        </w:tc>
      </w:tr>
      <w:tr w:rsidR="00714903" w:rsidRPr="00714903" w:rsidTr="00714903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deksametazon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przeciwzapalne i immunomodulujące (liczne punkty uchwytu)</w:t>
            </w:r>
          </w:p>
        </w:tc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mg co 24 h </w:t>
            </w:r>
            <w:r w:rsidRPr="00714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p.o.</w:t>
            </w: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lub </w:t>
            </w:r>
            <w:proofErr w:type="spellStart"/>
            <w:r w:rsidRPr="00714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i.v</w:t>
            </w:r>
            <w:proofErr w:type="spellEnd"/>
            <w:r w:rsidRPr="00714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przez ≤10 dni</w:t>
            </w:r>
          </w:p>
        </w:tc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chorzy hospitalizowani, wymagający tlenoterapii; największe korzyści z leczenia odnoszą pacjenci wymagający wentylacji mechanicznej</w:t>
            </w:r>
          </w:p>
        </w:tc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dopuszczony do stosowania u chorych na COVID-19 w UE przez EMA</w:t>
            </w:r>
          </w:p>
        </w:tc>
      </w:tr>
      <w:tr w:rsidR="00714903" w:rsidRPr="00714903" w:rsidTr="00714903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tocilizumab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przeciwzapalne i immunomodulujące (antagonista receptora IL-6)</w:t>
            </w:r>
          </w:p>
        </w:tc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mg/kg (maks. 800 mg) w pojedynczym wlewie </w:t>
            </w:r>
            <w:proofErr w:type="spellStart"/>
            <w:r w:rsidRPr="00714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i.v</w:t>
            </w:r>
            <w:proofErr w:type="spellEnd"/>
            <w:r w:rsidRPr="00714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wg </w:t>
            </w:r>
            <w:proofErr w:type="spellStart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PTEiLChZ</w:t>
            </w:r>
            <w:proofErr w:type="spellEnd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braku poprawy po 8–12 godz. można podać drugą dawkę; wg NIH nie ma danych, które potwierdzają zasadność podawania drugiej dawki </w:t>
            </w:r>
            <w:proofErr w:type="spellStart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tocilizumabu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chorzy hospitalizowani z COVID-19 o </w:t>
            </w:r>
            <w:proofErr w:type="spellStart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cieżkim</w:t>
            </w:r>
            <w:proofErr w:type="spellEnd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przebiegu i progresją choroby lub w stanie krytycznym (do badania RECOVERY włączono chorych, u których stwierdzano uogólniony stan zapalny z CRP &gt;75 mg/l jako </w:t>
            </w: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 włączenia do badania)</w:t>
            </w:r>
          </w:p>
        </w:tc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zarejestrowany w UE w innych wskazaniach leczniczych (m.in. reumatoidalne zapalenie stawów)</w:t>
            </w:r>
          </w:p>
        </w:tc>
      </w:tr>
      <w:tr w:rsidR="00714903" w:rsidRPr="00714903" w:rsidTr="00714903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baricytynib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przeciwzapalne i immunomodulujące (inhibitor kinazy janusowej)</w:t>
            </w:r>
          </w:p>
        </w:tc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mg </w:t>
            </w:r>
            <w:r w:rsidRPr="00714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p.o.</w:t>
            </w: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przez 14 dni lub do wypisu ze szpitala (łącznie z </w:t>
            </w:r>
            <w:proofErr w:type="spellStart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remdesiwirem</w:t>
            </w:r>
            <w:proofErr w:type="spellEnd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chorzy hospitalizowani z COVID-19 o ciężkim lub krytycznym przebiegu, u których nie można zastosować GKS</w:t>
            </w:r>
          </w:p>
        </w:tc>
        <w:tc>
          <w:tcPr>
            <w:tcW w:w="0" w:type="auto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zarejestrowany w UE w innych wskazaniach leczniczych (reumatoidalne zapalenie stawów, atopowe zapalenie skóry)</w:t>
            </w:r>
          </w:p>
        </w:tc>
      </w:tr>
      <w:tr w:rsidR="00714903" w:rsidRPr="00714903" w:rsidTr="00714903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hideMark/>
          </w:tcPr>
          <w:p w:rsidR="00714903" w:rsidRPr="00714903" w:rsidRDefault="00714903" w:rsidP="0071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90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l-PL"/>
              </w:rPr>
              <w:t>a</w:t>
            </w: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preparaty zawierające przeciwciała podano w tabeli 2 </w:t>
            </w: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90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l-PL"/>
              </w:rPr>
              <w:t>b</w:t>
            </w: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na podstawie zaleceń NIH</w:t>
            </w:r>
            <w:r w:rsidRPr="0071490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l-PL"/>
              </w:rPr>
              <w:t>1</w:t>
            </w: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COVID-19 – choroba spowodowana przez SARS-CoV-2, CRP – stężenie białka C-reaktywnego, ECMO – pozaustrojowa </w:t>
            </w:r>
            <w:proofErr w:type="spellStart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oksygenacja</w:t>
            </w:r>
            <w:proofErr w:type="spellEnd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membranowa, EMA – </w:t>
            </w:r>
            <w:proofErr w:type="spellStart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European</w:t>
            </w:r>
            <w:proofErr w:type="spellEnd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Medicines</w:t>
            </w:r>
            <w:proofErr w:type="spellEnd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Agency</w:t>
            </w:r>
            <w:proofErr w:type="spellEnd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GKS – </w:t>
            </w:r>
            <w:proofErr w:type="spellStart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glikokortykosteroid</w:t>
            </w:r>
            <w:proofErr w:type="spellEnd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(y), </w:t>
            </w:r>
            <w:proofErr w:type="spellStart"/>
            <w:r w:rsidRPr="00714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i.v</w:t>
            </w:r>
            <w:proofErr w:type="spellEnd"/>
            <w:r w:rsidRPr="00714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dożylnie, NIH – </w:t>
            </w:r>
            <w:proofErr w:type="spellStart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National</w:t>
            </w:r>
            <w:proofErr w:type="spellEnd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Institutes</w:t>
            </w:r>
            <w:proofErr w:type="spellEnd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Health</w:t>
            </w:r>
            <w:proofErr w:type="spellEnd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</w:t>
            </w:r>
            <w:r w:rsidRPr="00714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p.o.</w:t>
            </w:r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doustnie, </w:t>
            </w:r>
            <w:proofErr w:type="spellStart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PTEiLChZ</w:t>
            </w:r>
            <w:proofErr w:type="spellEnd"/>
            <w:r w:rsidRPr="00714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Polskie Towarzystwo Epidemiologów i Lekarzy Chorób Zakaźnych, UE – Unia Europejska</w:t>
            </w:r>
          </w:p>
        </w:tc>
      </w:tr>
    </w:tbl>
    <w:p w:rsidR="00714903" w:rsidRPr="00714903" w:rsidRDefault="00714903" w:rsidP="0071490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proofErr w:type="spellStart"/>
      <w:r w:rsidRPr="00714903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Tocilizumab</w:t>
      </w:r>
      <w:proofErr w:type="spellEnd"/>
    </w:p>
    <w:p w:rsidR="00714903" w:rsidRPr="00714903" w:rsidRDefault="00714903" w:rsidP="007149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proofErr w:type="spellStart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Tocilizumab</w:t>
      </w:r>
      <w:proofErr w:type="spellEnd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to lek immunomodulujący, antagonista receptora interleukiny 6 (IL-6). Wyniki badań, opublikowane w 2021 roku, wskazują na jego korzystny wpływ na rokowanie u chorych na COVID-19 o ciężkim przebiegu. W lutym 2021 roku na platformie </w:t>
      </w:r>
      <w:proofErr w:type="spellStart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medRxiv</w:t>
      </w:r>
      <w:proofErr w:type="spellEnd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przedstawiono (w formie artykułu nierecenzowanego) wnioski z badania RECOVERY, które stanowi największą jak dotąd próbę kliniczną oceniającą skuteczność </w:t>
      </w:r>
      <w:proofErr w:type="spellStart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tocilizumabu</w:t>
      </w:r>
      <w:proofErr w:type="spellEnd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COVID-19.</w:t>
      </w:r>
      <w:r w:rsidRPr="0071490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2</w:t>
      </w:r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Efekty leczenia </w:t>
      </w:r>
      <w:proofErr w:type="spellStart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tocilizumabem</w:t>
      </w:r>
      <w:proofErr w:type="spellEnd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analizowano w grupie 4116 chorych (82% z nich otrzymywało jednocześnie GKS, najczęściej </w:t>
      </w:r>
      <w:proofErr w:type="spellStart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deksametazon</w:t>
      </w:r>
      <w:proofErr w:type="spellEnd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), a opublikowane dane wskazują na </w:t>
      </w:r>
      <w:r w:rsidRPr="0071490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zmniejszenie śmiertelności u hospitalizowanych chorych z zakażeniem SARS-CoV-2, wysyceniem krwi tętniczej tlenem (SpO</w:t>
      </w:r>
      <w:r w:rsidRPr="00714903">
        <w:rPr>
          <w:rFonts w:ascii="Verdana" w:eastAsia="Times New Roman" w:hAnsi="Verdana" w:cs="Times New Roman"/>
          <w:b/>
          <w:bCs/>
          <w:color w:val="333333"/>
          <w:sz w:val="16"/>
          <w:szCs w:val="16"/>
          <w:vertAlign w:val="subscript"/>
          <w:lang w:eastAsia="pl-PL"/>
        </w:rPr>
        <w:t>2</w:t>
      </w:r>
      <w:r w:rsidRPr="0071490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) &lt;92% oraz stężeniem białka C-reaktywnego w surowicy (CRP) ≥75 mg/l, którzy otrzymywali </w:t>
      </w:r>
      <w:proofErr w:type="spellStart"/>
      <w:r w:rsidRPr="0071490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tocilizumab</w:t>
      </w:r>
      <w:proofErr w:type="spellEnd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 Wyniki analizy w podgrupach wyłonionych ze względu na stosowanie GKS wskazują na największe korzyści w podgrupie chorych otrzymujących jednocześnie GKS.</w:t>
      </w:r>
    </w:p>
    <w:p w:rsidR="00714903" w:rsidRPr="00714903" w:rsidRDefault="00714903" w:rsidP="007149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Wkrótce potem opublikowane zostały wyniki badania REMAP-CAP, w którym w grupie 895 chorych na COVID-19 wykazano istotne zmniejszenie śmiertelności u leczonych </w:t>
      </w:r>
      <w:proofErr w:type="spellStart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tocilizumabem</w:t>
      </w:r>
      <w:proofErr w:type="spellEnd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chorych w stanie krytycznym z powodu zakażenia SARS-CoV-2.</w:t>
      </w:r>
      <w:r w:rsidRPr="0071490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3</w:t>
      </w:r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Do tego badania kwalifikowano chorych w ciągu 24 godzin od rozpoczęcia wspomagania oddychania lub krążenia na oddziale intensywnej terapii (OIT).</w:t>
      </w:r>
    </w:p>
    <w:p w:rsidR="00714903" w:rsidRPr="00714903" w:rsidRDefault="00714903" w:rsidP="007149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 marcu 2021 roku opublikowano zaktualizowane zalecenia NIH dotyczące stosowania </w:t>
      </w:r>
      <w:proofErr w:type="spellStart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tocilizumabu</w:t>
      </w:r>
      <w:proofErr w:type="spellEnd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u chorych na COVID-19, w których uwzględniono dane z obu tych badań. Zgodnie ze stanowiskiem panelu ekspertów NIH </w:t>
      </w:r>
      <w:proofErr w:type="spellStart"/>
      <w:r w:rsidRPr="0071490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tocilizumab</w:t>
      </w:r>
      <w:proofErr w:type="spellEnd"/>
      <w:r w:rsidRPr="0071490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jest zalecany u chorych hospitalizowanych, z szybko rozwijającą się niewydolnością oddechową w przebiegu COVID-19</w:t>
      </w:r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w tym u chorych:</w:t>
      </w:r>
    </w:p>
    <w:p w:rsidR="00714903" w:rsidRPr="00714903" w:rsidRDefault="00714903" w:rsidP="007149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przyjętych na OIT w ciągu ostatnich 24 godzin, którzy wymagają wentylacji mechanicznej lub wysokoprzepływowej tlenoterapii donosowej (HFNOT, z FiO</w:t>
      </w:r>
      <w:r w:rsidRPr="00714903">
        <w:rPr>
          <w:rFonts w:ascii="Verdana" w:eastAsia="Times New Roman" w:hAnsi="Verdana" w:cs="Times New Roman"/>
          <w:color w:val="333333"/>
          <w:sz w:val="16"/>
          <w:szCs w:val="16"/>
          <w:vertAlign w:val="subscript"/>
          <w:lang w:eastAsia="pl-PL"/>
        </w:rPr>
        <w:t>2</w:t>
      </w:r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&gt;0,4 lub przepływem tlenu &gt;30 l/min)</w:t>
      </w:r>
    </w:p>
    <w:p w:rsidR="00714903" w:rsidRPr="00714903" w:rsidRDefault="00714903" w:rsidP="007149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niedawno przyjętych do szpitala, ale nie na OIT, z gwałtownie narastającą potrzebą wspomagania oddychania, wymagających nieinwazyjnej wentylacji lub HFNOT oraz ze </w:t>
      </w:r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>zwiększonymi wartościami wskaźników stanu zapalnego obserwowanych w badaniach laboratoryjnych.</w:t>
      </w:r>
      <w:r w:rsidRPr="0071490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1</w:t>
      </w:r>
    </w:p>
    <w:p w:rsidR="00714903" w:rsidRPr="00714903" w:rsidRDefault="00714903" w:rsidP="007149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Zgodnie ze stanowiskiem </w:t>
      </w:r>
      <w:r w:rsidRPr="0071490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NIH nie ma wystarczających dowodów na korzyści z leczenia </w:t>
      </w:r>
      <w:proofErr w:type="spellStart"/>
      <w:r w:rsidRPr="0071490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tocilizumabem</w:t>
      </w:r>
      <w:proofErr w:type="spellEnd"/>
      <w:r w:rsidRPr="0071490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u chorych z hipoksemią, którzy wymagają konwencjonalnej tlenoterapii</w:t>
      </w:r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. U takich pacjentów eksperci NIH rekomendują zastosowanie </w:t>
      </w:r>
      <w:proofErr w:type="spellStart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remdesiwiru</w:t>
      </w:r>
      <w:proofErr w:type="spellEnd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</w:t>
      </w:r>
      <w:proofErr w:type="spellStart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remdesiwiru</w:t>
      </w:r>
      <w:proofErr w:type="spellEnd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z </w:t>
      </w:r>
      <w:proofErr w:type="spellStart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deksametazonem</w:t>
      </w:r>
      <w:proofErr w:type="spellEnd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lub samego </w:t>
      </w:r>
      <w:proofErr w:type="spellStart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deksametazonu</w:t>
      </w:r>
      <w:proofErr w:type="spellEnd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. Niektórzy eksperci NIH zalecają </w:t>
      </w:r>
      <w:proofErr w:type="spellStart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tocilizumab</w:t>
      </w:r>
      <w:proofErr w:type="spellEnd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także u chorych niewymagających nieinwazyjnej wentylacji ani HFNOT, u których stężenie CRP wynosi ≥75 mg/l oraz stwierdza się szybko narastającą potrzebę wspomagania oddechowego podczas stosowania </w:t>
      </w:r>
      <w:proofErr w:type="spellStart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deksametazonu</w:t>
      </w:r>
      <w:proofErr w:type="spellEnd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</w:t>
      </w:r>
    </w:p>
    <w:p w:rsidR="00714903" w:rsidRPr="00714903" w:rsidRDefault="00714903" w:rsidP="007149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Według NIH </w:t>
      </w:r>
      <w:proofErr w:type="spellStart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tocilizumabu</w:t>
      </w:r>
      <w:proofErr w:type="spellEnd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nie powinno się stosować u chorych w stanie immunosupresji, ponieważ nie ma danych z badań RECOVERY i REMAP-CAP na temat bezpieczeństwa takiej terapii w tej grupie chorych.</w:t>
      </w:r>
    </w:p>
    <w:p w:rsidR="00714903" w:rsidRPr="00714903" w:rsidRDefault="00714903" w:rsidP="007149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Polskie Towarzystwo Epidemiologów i Lekarzy Chorób Zakaźnych (</w:t>
      </w:r>
      <w:proofErr w:type="spellStart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PTEiLChZ</w:t>
      </w:r>
      <w:proofErr w:type="spellEnd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) w swoich zaleceniach z października 2020 roku zaleca stosowanie </w:t>
      </w:r>
      <w:proofErr w:type="spellStart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tocilizumabu</w:t>
      </w:r>
      <w:proofErr w:type="spellEnd"/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u chorych w 3. stadium COVID-19 z niewydolnością oddechową (SpO</w:t>
      </w:r>
      <w:r w:rsidRPr="00714903">
        <w:rPr>
          <w:rFonts w:ascii="Verdana" w:eastAsia="Times New Roman" w:hAnsi="Verdana" w:cs="Times New Roman"/>
          <w:color w:val="333333"/>
          <w:sz w:val="16"/>
          <w:szCs w:val="16"/>
          <w:vertAlign w:val="subscript"/>
          <w:lang w:eastAsia="pl-PL"/>
        </w:rPr>
        <w:t>2</w:t>
      </w:r>
      <w:r w:rsidRPr="0071490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&lt;90%) oraz ze zwiększonym stężeniem IL-6 w surowicy (stan na 24.03.2021).</w:t>
      </w:r>
      <w:r w:rsidRPr="00714903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4</w:t>
      </w:r>
    </w:p>
    <w:p w:rsidR="007039EC" w:rsidRDefault="007039EC" w:rsidP="007039EC">
      <w:pPr>
        <w:pStyle w:val="NormalnyWeb"/>
        <w:shd w:val="clear" w:color="auto" w:fill="FFFFFF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16 marca 2021 roku Agencja Oceny Technologii Medycznych i Taryfikacji (</w:t>
      </w:r>
      <w:proofErr w:type="spellStart"/>
      <w:r>
        <w:rPr>
          <w:rFonts w:ascii="Verdana" w:hAnsi="Verdana"/>
          <w:color w:val="333333"/>
          <w:sz w:val="21"/>
          <w:szCs w:val="21"/>
        </w:rPr>
        <w:t>AOTMiT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) poinformowała o przeprowadzeniu procesu aktualizacji zaleceń w zakresie farmakoterapii COVID-19 w związku z nowymi danymi naukowymi dotyczącymi skuteczności i bezpieczeństwa poszczególnych terapii lekowych. W ramach tej aktualizacji </w:t>
      </w:r>
      <w:proofErr w:type="spellStart"/>
      <w:r>
        <w:rPr>
          <w:rFonts w:ascii="Verdana" w:hAnsi="Verdana"/>
          <w:color w:val="333333"/>
          <w:sz w:val="21"/>
          <w:szCs w:val="21"/>
        </w:rPr>
        <w:t>AOTMiT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opublikowała nową wersję opracowania analitycznego dotyczącego skuteczności i profilu bezpieczeństwa </w:t>
      </w:r>
      <w:proofErr w:type="spellStart"/>
      <w:r>
        <w:rPr>
          <w:rFonts w:ascii="Verdana" w:hAnsi="Verdana"/>
          <w:color w:val="333333"/>
          <w:sz w:val="21"/>
          <w:szCs w:val="21"/>
        </w:rPr>
        <w:t>tocilizumabu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w leczeniu COVID-19. Przegląd doniesień naukowych uzupełniono o analizę wyników 8 badań klinicznych z randomizacją (RCT) oraz 1 badania obserwacyjnego retrospektywnego z grupą kontrolną przeprowadzonego z udziałem populacji polskiej (</w:t>
      </w:r>
      <w:proofErr w:type="spellStart"/>
      <w:r>
        <w:rPr>
          <w:rFonts w:ascii="Verdana" w:hAnsi="Verdana"/>
          <w:color w:val="333333"/>
          <w:sz w:val="21"/>
          <w:szCs w:val="21"/>
        </w:rPr>
        <w:t>SARSTer</w:t>
      </w:r>
      <w:proofErr w:type="spellEnd"/>
      <w:r>
        <w:rPr>
          <w:rFonts w:ascii="Verdana" w:hAnsi="Verdana"/>
          <w:color w:val="333333"/>
          <w:sz w:val="21"/>
          <w:szCs w:val="21"/>
        </w:rPr>
        <w:t>). </w:t>
      </w:r>
      <w:r>
        <w:rPr>
          <w:rFonts w:ascii="Verdana" w:hAnsi="Verdana"/>
          <w:b/>
          <w:bCs/>
          <w:color w:val="333333"/>
          <w:sz w:val="21"/>
          <w:szCs w:val="21"/>
        </w:rPr>
        <w:t xml:space="preserve">Wyniki metaanalizy </w:t>
      </w:r>
      <w:proofErr w:type="spellStart"/>
      <w:r>
        <w:rPr>
          <w:rFonts w:ascii="Verdana" w:hAnsi="Verdana"/>
          <w:b/>
          <w:bCs/>
          <w:color w:val="333333"/>
          <w:sz w:val="21"/>
          <w:szCs w:val="21"/>
        </w:rPr>
        <w:t>AOTMiT</w:t>
      </w:r>
      <w:proofErr w:type="spellEnd"/>
      <w:r>
        <w:rPr>
          <w:rFonts w:ascii="Verdana" w:hAnsi="Verdana"/>
          <w:b/>
          <w:bCs/>
          <w:color w:val="333333"/>
          <w:sz w:val="21"/>
          <w:szCs w:val="21"/>
        </w:rPr>
        <w:t xml:space="preserve"> w zakresie redukcji ryzyka zgonu wykazały istotne statystycznie różnice na korzyść </w:t>
      </w:r>
      <w:proofErr w:type="spellStart"/>
      <w:r>
        <w:rPr>
          <w:rFonts w:ascii="Verdana" w:hAnsi="Verdana"/>
          <w:b/>
          <w:bCs/>
          <w:color w:val="333333"/>
          <w:sz w:val="21"/>
          <w:szCs w:val="21"/>
        </w:rPr>
        <w:t>tocilizumabu</w:t>
      </w:r>
      <w:proofErr w:type="spellEnd"/>
      <w:r>
        <w:rPr>
          <w:rFonts w:ascii="Verdana" w:hAnsi="Verdana"/>
          <w:b/>
          <w:bCs/>
          <w:color w:val="333333"/>
          <w:sz w:val="21"/>
          <w:szCs w:val="21"/>
        </w:rPr>
        <w:t xml:space="preserve"> nie tylko w podgrupie chorych wymagających wentylacji (inwazyjnej lub nieinwazyjnej), ale również w podgrupie chorych bez wspomagania oddechowego.</w:t>
      </w:r>
    </w:p>
    <w:p w:rsidR="007039EC" w:rsidRDefault="007039EC" w:rsidP="007039EC">
      <w:pPr>
        <w:pStyle w:val="NormalnyWeb"/>
        <w:shd w:val="clear" w:color="auto" w:fill="FFFFFF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W badaniu </w:t>
      </w:r>
      <w:proofErr w:type="spellStart"/>
      <w:r>
        <w:rPr>
          <w:rFonts w:ascii="Verdana" w:hAnsi="Verdana"/>
          <w:color w:val="333333"/>
          <w:sz w:val="21"/>
          <w:szCs w:val="21"/>
        </w:rPr>
        <w:t>SARSTer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na największą korzyść ze stosowania </w:t>
      </w:r>
      <w:proofErr w:type="spellStart"/>
      <w:r>
        <w:rPr>
          <w:rFonts w:ascii="Verdana" w:hAnsi="Verdana"/>
          <w:color w:val="333333"/>
          <w:sz w:val="21"/>
          <w:szCs w:val="21"/>
        </w:rPr>
        <w:t>tocilizumabu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w zakresie zmniejszenia śmiertelności, częstości wentylacji mechanicznej i poprawy klinicznej w 21. dniu oraz w 28. dniu wskazywała kombinacja czynników rokowniczych: wyjściowe stężenie IL-6 w surowicy &gt;100 </w:t>
      </w:r>
      <w:proofErr w:type="spellStart"/>
      <w:r>
        <w:rPr>
          <w:rFonts w:ascii="Verdana" w:hAnsi="Verdana"/>
          <w:color w:val="333333"/>
          <w:sz w:val="21"/>
          <w:szCs w:val="21"/>
        </w:rPr>
        <w:t>pg</w:t>
      </w:r>
      <w:proofErr w:type="spellEnd"/>
      <w:r>
        <w:rPr>
          <w:rFonts w:ascii="Verdana" w:hAnsi="Verdana"/>
          <w:color w:val="333333"/>
          <w:sz w:val="21"/>
          <w:szCs w:val="21"/>
        </w:rPr>
        <w:t>/ml i SpO</w:t>
      </w:r>
      <w:r>
        <w:rPr>
          <w:rFonts w:ascii="Verdana" w:hAnsi="Verdana"/>
          <w:color w:val="333333"/>
          <w:sz w:val="16"/>
          <w:szCs w:val="16"/>
          <w:vertAlign w:val="subscript"/>
        </w:rPr>
        <w:t>2</w:t>
      </w:r>
      <w:r>
        <w:rPr>
          <w:rFonts w:ascii="Verdana" w:hAnsi="Verdana"/>
          <w:color w:val="333333"/>
          <w:sz w:val="21"/>
          <w:szCs w:val="21"/>
        </w:rPr>
        <w:t xml:space="preserve"> ≤90%. Znaczące korzyści z leczenia obserwowano także w grupie pacjentów z wyjściowym stężeniem IL-6 &gt;100 </w:t>
      </w:r>
      <w:proofErr w:type="spellStart"/>
      <w:r>
        <w:rPr>
          <w:rFonts w:ascii="Verdana" w:hAnsi="Verdana"/>
          <w:color w:val="333333"/>
          <w:sz w:val="21"/>
          <w:szCs w:val="21"/>
        </w:rPr>
        <w:t>pg</w:t>
      </w:r>
      <w:proofErr w:type="spellEnd"/>
      <w:r>
        <w:rPr>
          <w:rFonts w:ascii="Verdana" w:hAnsi="Verdana"/>
          <w:color w:val="333333"/>
          <w:sz w:val="21"/>
          <w:szCs w:val="21"/>
        </w:rPr>
        <w:t>/ml i wymagających standardowej lub wysokoprzepływowej tlenoterapii.</w:t>
      </w:r>
    </w:p>
    <w:p w:rsidR="007039EC" w:rsidRDefault="007039EC" w:rsidP="007039EC">
      <w:pPr>
        <w:pStyle w:val="NormalnyWeb"/>
        <w:shd w:val="clear" w:color="auto" w:fill="FFFFFF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Na tej podstawie </w:t>
      </w:r>
      <w:proofErr w:type="spellStart"/>
      <w:r>
        <w:rPr>
          <w:rFonts w:ascii="Verdana" w:hAnsi="Verdana"/>
          <w:color w:val="333333"/>
          <w:sz w:val="21"/>
          <w:szCs w:val="21"/>
        </w:rPr>
        <w:t>AOTMiT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w najnowszej aktualizacji zaleceń „Farmakoterapia COVID-19” (z 23 marca br.) sformułowała </w:t>
      </w:r>
      <w:hyperlink r:id="rId7" w:history="1">
        <w:r>
          <w:rPr>
            <w:rStyle w:val="Hipercze"/>
            <w:rFonts w:ascii="Verdana" w:hAnsi="Verdana"/>
            <w:color w:val="00477F"/>
            <w:sz w:val="21"/>
            <w:szCs w:val="21"/>
          </w:rPr>
          <w:t xml:space="preserve">zalecenie, aby rozważyć stosowanie </w:t>
        </w:r>
        <w:proofErr w:type="spellStart"/>
        <w:r>
          <w:rPr>
            <w:rStyle w:val="Hipercze"/>
            <w:rFonts w:ascii="Verdana" w:hAnsi="Verdana"/>
            <w:color w:val="00477F"/>
            <w:sz w:val="21"/>
            <w:szCs w:val="21"/>
          </w:rPr>
          <w:t>tocilizumabu</w:t>
        </w:r>
        <w:proofErr w:type="spellEnd"/>
        <w:r>
          <w:rPr>
            <w:rStyle w:val="Hipercze"/>
            <w:rFonts w:ascii="Verdana" w:hAnsi="Verdana"/>
            <w:color w:val="00477F"/>
            <w:sz w:val="21"/>
            <w:szCs w:val="21"/>
          </w:rPr>
          <w:t xml:space="preserve"> poza zarejestrowanymi wskazaniami u hospitalizowanych chorych na COVID-19, z hipoksją i znacznym nasileniem stanu zapalnego, o ile nie jest on związany z </w:t>
        </w:r>
        <w:proofErr w:type="spellStart"/>
        <w:r>
          <w:rPr>
            <w:rStyle w:val="Hipercze"/>
            <w:rFonts w:ascii="Verdana" w:hAnsi="Verdana"/>
            <w:color w:val="00477F"/>
            <w:sz w:val="21"/>
            <w:szCs w:val="21"/>
          </w:rPr>
          <w:t>nadkażeniem</w:t>
        </w:r>
        <w:proofErr w:type="spellEnd"/>
        <w:r>
          <w:rPr>
            <w:rStyle w:val="Hipercze"/>
            <w:rFonts w:ascii="Verdana" w:hAnsi="Verdana"/>
            <w:color w:val="00477F"/>
            <w:sz w:val="21"/>
            <w:szCs w:val="21"/>
          </w:rPr>
          <w:t xml:space="preserve"> bakteryjnym</w:t>
        </w:r>
      </w:hyperlink>
      <w:r>
        <w:rPr>
          <w:rFonts w:ascii="Verdana" w:hAnsi="Verdana"/>
          <w:color w:val="333333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333333"/>
          <w:sz w:val="21"/>
          <w:szCs w:val="21"/>
        </w:rPr>
        <w:t>AOTMiT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zwraca uwagę na zasadność stosowania </w:t>
      </w:r>
      <w:proofErr w:type="spellStart"/>
      <w:r>
        <w:rPr>
          <w:rFonts w:ascii="Verdana" w:hAnsi="Verdana"/>
          <w:color w:val="333333"/>
          <w:sz w:val="21"/>
          <w:szCs w:val="21"/>
        </w:rPr>
        <w:t>tocilizumabu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w połączeniu z </w:t>
      </w:r>
      <w:proofErr w:type="spellStart"/>
      <w:r>
        <w:rPr>
          <w:rFonts w:ascii="Verdana" w:hAnsi="Verdana"/>
          <w:color w:val="333333"/>
          <w:sz w:val="21"/>
          <w:szCs w:val="21"/>
        </w:rPr>
        <w:t>deksametazonem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u chorych spełniających kryteria kwalifikacji do badania RECOVERY, tj. z SpO</w:t>
      </w:r>
      <w:r>
        <w:rPr>
          <w:rFonts w:ascii="Verdana" w:hAnsi="Verdana"/>
          <w:color w:val="333333"/>
          <w:sz w:val="16"/>
          <w:szCs w:val="16"/>
          <w:vertAlign w:val="subscript"/>
        </w:rPr>
        <w:t>2</w:t>
      </w:r>
      <w:r>
        <w:rPr>
          <w:rFonts w:ascii="Verdana" w:hAnsi="Verdana"/>
          <w:color w:val="333333"/>
          <w:sz w:val="21"/>
          <w:szCs w:val="21"/>
        </w:rPr>
        <w:t xml:space="preserve"> &lt;92% oraz stężeniem CRP ≥75 mg/l. U chorych wentylowanych mechanicznie </w:t>
      </w:r>
      <w:proofErr w:type="spellStart"/>
      <w:r>
        <w:rPr>
          <w:rFonts w:ascii="Verdana" w:hAnsi="Verdana"/>
          <w:color w:val="333333"/>
          <w:sz w:val="21"/>
          <w:szCs w:val="21"/>
        </w:rPr>
        <w:t>AOTMiT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rekomenduje rozpoczęcie leczenia </w:t>
      </w:r>
      <w:proofErr w:type="spellStart"/>
      <w:r>
        <w:rPr>
          <w:rFonts w:ascii="Verdana" w:hAnsi="Verdana"/>
          <w:color w:val="333333"/>
          <w:sz w:val="21"/>
          <w:szCs w:val="21"/>
        </w:rPr>
        <w:t>tocilizumabem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możliwie wcześnie, nie później niż w 1. dobie od wdrożenia wspomagania oddechowego.</w:t>
      </w:r>
      <w:r>
        <w:rPr>
          <w:rFonts w:ascii="Verdana" w:hAnsi="Verdana"/>
          <w:color w:val="333333"/>
          <w:sz w:val="16"/>
          <w:szCs w:val="16"/>
          <w:vertAlign w:val="superscript"/>
        </w:rPr>
        <w:t>5</w:t>
      </w:r>
    </w:p>
    <w:p w:rsidR="007039EC" w:rsidRDefault="007039EC" w:rsidP="007039EC">
      <w:pPr>
        <w:pStyle w:val="Nagwek3"/>
        <w:shd w:val="clear" w:color="auto" w:fill="FFFFFF"/>
        <w:rPr>
          <w:rFonts w:ascii="Verdana" w:hAnsi="Verdana"/>
          <w:b w:val="0"/>
          <w:bCs w:val="0"/>
          <w:color w:val="000000"/>
        </w:rPr>
      </w:pPr>
      <w:proofErr w:type="spellStart"/>
      <w:r>
        <w:rPr>
          <w:rFonts w:ascii="Verdana" w:hAnsi="Verdana"/>
          <w:b w:val="0"/>
          <w:bCs w:val="0"/>
          <w:color w:val="000000"/>
        </w:rPr>
        <w:t>Baricytynib</w:t>
      </w:r>
      <w:proofErr w:type="spellEnd"/>
    </w:p>
    <w:p w:rsidR="007039EC" w:rsidRDefault="007039EC" w:rsidP="007039EC">
      <w:pPr>
        <w:pStyle w:val="NormalnyWeb"/>
        <w:shd w:val="clear" w:color="auto" w:fill="FFFFFF"/>
        <w:rPr>
          <w:rFonts w:ascii="Verdana" w:hAnsi="Verdana"/>
          <w:color w:val="333333"/>
          <w:sz w:val="21"/>
          <w:szCs w:val="21"/>
        </w:rPr>
      </w:pPr>
      <w:proofErr w:type="spellStart"/>
      <w:r>
        <w:rPr>
          <w:rFonts w:ascii="Verdana" w:hAnsi="Verdana"/>
          <w:color w:val="333333"/>
          <w:sz w:val="21"/>
          <w:szCs w:val="21"/>
        </w:rPr>
        <w:lastRenderedPageBreak/>
        <w:t>Baricytynib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jest inhibitorem kinazy janusowej (JAK), którego działanie immunomodulujące i przeciwzapalne wykorzystuje się w leczeniu m.in. reumatoidalnego zapalenia stawów i atopowego zapalenia skóry. Według aktualnych wytycznych NIH </w:t>
      </w:r>
      <w:r>
        <w:rPr>
          <w:rFonts w:ascii="Verdana" w:hAnsi="Verdana"/>
          <w:b/>
          <w:bCs/>
          <w:color w:val="333333"/>
          <w:sz w:val="21"/>
          <w:szCs w:val="21"/>
        </w:rPr>
        <w:t xml:space="preserve">nadal nie ma wystarczających danych, na których podstawie można by zalecić stosowanie albo niestosowanie </w:t>
      </w:r>
      <w:proofErr w:type="spellStart"/>
      <w:r>
        <w:rPr>
          <w:rFonts w:ascii="Verdana" w:hAnsi="Verdana"/>
          <w:b/>
          <w:bCs/>
          <w:color w:val="333333"/>
          <w:sz w:val="21"/>
          <w:szCs w:val="21"/>
        </w:rPr>
        <w:t>baricytynibu</w:t>
      </w:r>
      <w:proofErr w:type="spellEnd"/>
      <w:r>
        <w:rPr>
          <w:rFonts w:ascii="Verdana" w:hAnsi="Verdana"/>
          <w:b/>
          <w:bCs/>
          <w:color w:val="333333"/>
          <w:sz w:val="21"/>
          <w:szCs w:val="21"/>
        </w:rPr>
        <w:t xml:space="preserve"> w połączeniu z </w:t>
      </w:r>
      <w:proofErr w:type="spellStart"/>
      <w:r>
        <w:rPr>
          <w:rFonts w:ascii="Verdana" w:hAnsi="Verdana"/>
          <w:b/>
          <w:bCs/>
          <w:color w:val="333333"/>
          <w:sz w:val="21"/>
          <w:szCs w:val="21"/>
        </w:rPr>
        <w:t>remdesiwirem</w:t>
      </w:r>
      <w:proofErr w:type="spellEnd"/>
      <w:r>
        <w:rPr>
          <w:rFonts w:ascii="Verdana" w:hAnsi="Verdana"/>
          <w:b/>
          <w:bCs/>
          <w:color w:val="333333"/>
          <w:sz w:val="21"/>
          <w:szCs w:val="21"/>
        </w:rPr>
        <w:t xml:space="preserve"> u chorych na COVID-19, u których można zastosować GKS</w:t>
      </w:r>
      <w:r>
        <w:rPr>
          <w:rFonts w:ascii="Verdana" w:hAnsi="Verdana"/>
          <w:color w:val="333333"/>
          <w:sz w:val="21"/>
          <w:szCs w:val="21"/>
        </w:rPr>
        <w:t> (</w:t>
      </w:r>
      <w:hyperlink r:id="rId8" w:history="1">
        <w:r>
          <w:rPr>
            <w:rStyle w:val="Hipercze"/>
            <w:rFonts w:ascii="Verdana" w:hAnsi="Verdana"/>
            <w:i/>
            <w:iCs/>
            <w:color w:val="00477F"/>
            <w:sz w:val="21"/>
            <w:szCs w:val="21"/>
          </w:rPr>
          <w:t xml:space="preserve">omówienie wyników badań klinicznych, mechanizmu działania oraz rejestracji </w:t>
        </w:r>
        <w:proofErr w:type="spellStart"/>
        <w:r>
          <w:rPr>
            <w:rStyle w:val="Hipercze"/>
            <w:rFonts w:ascii="Verdana" w:hAnsi="Verdana"/>
            <w:i/>
            <w:iCs/>
            <w:color w:val="00477F"/>
            <w:sz w:val="21"/>
            <w:szCs w:val="21"/>
          </w:rPr>
          <w:t>baricytynibu</w:t>
        </w:r>
        <w:proofErr w:type="spellEnd"/>
        <w:r>
          <w:rPr>
            <w:rStyle w:val="Hipercze"/>
            <w:rFonts w:ascii="Verdana" w:hAnsi="Verdana"/>
            <w:i/>
            <w:iCs/>
            <w:color w:val="00477F"/>
            <w:sz w:val="21"/>
            <w:szCs w:val="21"/>
          </w:rPr>
          <w:t xml:space="preserve"> w UE</w:t>
        </w:r>
      </w:hyperlink>
      <w:r>
        <w:rPr>
          <w:rFonts w:ascii="Verdana" w:hAnsi="Verdana"/>
          <w:i/>
          <w:iCs/>
          <w:color w:val="333333"/>
          <w:sz w:val="21"/>
          <w:szCs w:val="21"/>
        </w:rPr>
        <w:t> – przyp. red.</w:t>
      </w:r>
      <w:r>
        <w:rPr>
          <w:rFonts w:ascii="Verdana" w:hAnsi="Verdana"/>
          <w:color w:val="333333"/>
          <w:sz w:val="21"/>
          <w:szCs w:val="21"/>
        </w:rPr>
        <w:t>).</w:t>
      </w:r>
      <w:r>
        <w:rPr>
          <w:rFonts w:ascii="Verdana" w:hAnsi="Verdana"/>
          <w:color w:val="333333"/>
          <w:sz w:val="16"/>
          <w:szCs w:val="16"/>
          <w:vertAlign w:val="superscript"/>
        </w:rPr>
        <w:t>1</w:t>
      </w:r>
      <w:r>
        <w:rPr>
          <w:rFonts w:ascii="Verdana" w:hAnsi="Verdana"/>
          <w:color w:val="333333"/>
          <w:sz w:val="21"/>
          <w:szCs w:val="21"/>
        </w:rPr>
        <w:t xml:space="preserve"> W rzadkich sytuacjach klinicznych, w których nie można zastosować GKS, eksperci NIH zalecają zastosowanie </w:t>
      </w:r>
      <w:proofErr w:type="spellStart"/>
      <w:r>
        <w:rPr>
          <w:rFonts w:ascii="Verdana" w:hAnsi="Verdana"/>
          <w:color w:val="333333"/>
          <w:sz w:val="21"/>
          <w:szCs w:val="21"/>
        </w:rPr>
        <w:t>baricytynibu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z </w:t>
      </w:r>
      <w:proofErr w:type="spellStart"/>
      <w:r>
        <w:rPr>
          <w:rFonts w:ascii="Verdana" w:hAnsi="Verdana"/>
          <w:color w:val="333333"/>
          <w:sz w:val="21"/>
          <w:szCs w:val="21"/>
        </w:rPr>
        <w:t>remdesiwirem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u hospitalizowanych chorych na COVID-19, którzy nie zostali zaintubowani, ale wymagają tlenoterapii. NIH podkreśla, że stosowanie </w:t>
      </w:r>
      <w:proofErr w:type="spellStart"/>
      <w:r>
        <w:rPr>
          <w:rFonts w:ascii="Verdana" w:hAnsi="Verdana"/>
          <w:color w:val="333333"/>
          <w:sz w:val="21"/>
          <w:szCs w:val="21"/>
        </w:rPr>
        <w:t>baricytynibu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– podobnie jak innych inhibitorów JAK – bez </w:t>
      </w:r>
      <w:proofErr w:type="spellStart"/>
      <w:r>
        <w:rPr>
          <w:rFonts w:ascii="Verdana" w:hAnsi="Verdana"/>
          <w:color w:val="333333"/>
          <w:sz w:val="21"/>
          <w:szCs w:val="21"/>
        </w:rPr>
        <w:t>remdesiwiru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w zakażeniach SARS-CoV-2 powinno być ograniczone do badań klinicznych. Według NIH dostępne dane nie pozwalają na zalecenie stosowania lub niestosowania </w:t>
      </w:r>
      <w:proofErr w:type="spellStart"/>
      <w:r>
        <w:rPr>
          <w:rFonts w:ascii="Verdana" w:hAnsi="Verdana"/>
          <w:color w:val="333333"/>
          <w:sz w:val="21"/>
          <w:szCs w:val="21"/>
        </w:rPr>
        <w:t>baricytynibu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w połączeniu z GKS u chorych na COVID-19. NIH zwraca uwagę, że zarówno </w:t>
      </w:r>
      <w:proofErr w:type="spellStart"/>
      <w:r>
        <w:rPr>
          <w:rFonts w:ascii="Verdana" w:hAnsi="Verdana"/>
          <w:color w:val="333333"/>
          <w:sz w:val="21"/>
          <w:szCs w:val="21"/>
        </w:rPr>
        <w:t>baricytynib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, jak i GKS mają właściwości immunosupresyjne, w związku z czym podczas łącznego stosowania tych leków należy uwzględnić potencjalne zwiększenie ryzyka zakażenia. Nadal trwa analiza skuteczności </w:t>
      </w:r>
      <w:proofErr w:type="spellStart"/>
      <w:r>
        <w:rPr>
          <w:rFonts w:ascii="Verdana" w:hAnsi="Verdana"/>
          <w:color w:val="333333"/>
          <w:sz w:val="21"/>
          <w:szCs w:val="21"/>
        </w:rPr>
        <w:t>baricytynibu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u chorych na COVID-19 w badaniu RECOVERY.</w:t>
      </w:r>
    </w:p>
    <w:p w:rsidR="007039EC" w:rsidRDefault="007039EC" w:rsidP="007039EC">
      <w:pPr>
        <w:pStyle w:val="Nagwek3"/>
        <w:shd w:val="clear" w:color="auto" w:fill="FFFFFF"/>
        <w:rPr>
          <w:rFonts w:ascii="Verdana" w:hAnsi="Verdana"/>
          <w:b w:val="0"/>
          <w:bCs w:val="0"/>
          <w:color w:val="000000"/>
        </w:rPr>
      </w:pPr>
      <w:r>
        <w:rPr>
          <w:rFonts w:ascii="Verdana" w:hAnsi="Verdana"/>
          <w:b w:val="0"/>
          <w:bCs w:val="0"/>
          <w:color w:val="000000"/>
        </w:rPr>
        <w:t>Inne leki poddawane ocenie w badaniach klinicznych u chorych na COVID-19</w:t>
      </w:r>
    </w:p>
    <w:p w:rsidR="007039EC" w:rsidRDefault="007039EC" w:rsidP="007039EC">
      <w:pPr>
        <w:pStyle w:val="NormalnyWeb"/>
        <w:shd w:val="clear" w:color="auto" w:fill="FFFFFF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Liczne leki przeciwwirusowe oraz immunomodulujące z innych grup farmakologicznych są obecnie poddawane ocenie w badaniach klinicznych u chorych na COVID-19. Wśród metod leczniczych, które analizowano w ostatnich miesiącach, intensywne dyskusje wzbudziły m.in. kolchicyna i </w:t>
      </w:r>
      <w:proofErr w:type="spellStart"/>
      <w:r>
        <w:rPr>
          <w:rFonts w:ascii="Verdana" w:hAnsi="Verdana"/>
          <w:color w:val="333333"/>
          <w:sz w:val="21"/>
          <w:szCs w:val="21"/>
        </w:rPr>
        <w:t>iwermektyna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– dobrze znane leki, od wielu lat stosowane u ludzi z innych wskazań.</w:t>
      </w:r>
    </w:p>
    <w:p w:rsidR="007039EC" w:rsidRDefault="007039EC" w:rsidP="007039EC">
      <w:pPr>
        <w:pStyle w:val="NormalnyWeb"/>
        <w:shd w:val="clear" w:color="auto" w:fill="FFFFFF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Kolchicyna</w:t>
      </w:r>
      <w:r>
        <w:rPr>
          <w:rFonts w:ascii="Verdana" w:hAnsi="Verdana"/>
          <w:color w:val="333333"/>
          <w:sz w:val="21"/>
          <w:szCs w:val="21"/>
        </w:rPr>
        <w:t xml:space="preserve"> jest alkaloidem o właściwościach przeciwzapalnych i immunomodulujących, który wykorzystuje się w leczeniu dny moczanowej oraz niektórych chorób </w:t>
      </w:r>
      <w:proofErr w:type="spellStart"/>
      <w:r>
        <w:rPr>
          <w:rFonts w:ascii="Verdana" w:hAnsi="Verdana"/>
          <w:color w:val="333333"/>
          <w:sz w:val="21"/>
          <w:szCs w:val="21"/>
        </w:rPr>
        <w:t>autozapalnych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. Lek ten jest inhibitorem </w:t>
      </w:r>
      <w:proofErr w:type="spellStart"/>
      <w:r>
        <w:rPr>
          <w:rFonts w:ascii="Verdana" w:hAnsi="Verdana"/>
          <w:color w:val="333333"/>
          <w:sz w:val="21"/>
          <w:szCs w:val="21"/>
        </w:rPr>
        <w:t>inflamasomu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NLRP3 – wewnątrzkomórkowego kompleksu białkowego, który wpływa na aktywację szeregu cytokin i przyczynia się do uruchomienia kaskady zapalnej. Wyniki dużego, wieloośrodkowego RCT o akronimie COLCORONA, koordynowanego przez Montreal </w:t>
      </w:r>
      <w:proofErr w:type="spellStart"/>
      <w:r>
        <w:rPr>
          <w:rFonts w:ascii="Verdana" w:hAnsi="Verdana"/>
          <w:color w:val="333333"/>
          <w:sz w:val="21"/>
          <w:szCs w:val="21"/>
        </w:rPr>
        <w:t>Heart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Institute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(Kanada), które zostały udostępnione w styczniu 2021 roku na platformie </w:t>
      </w:r>
      <w:proofErr w:type="spellStart"/>
      <w:r>
        <w:rPr>
          <w:rFonts w:ascii="Verdana" w:hAnsi="Verdana"/>
          <w:color w:val="333333"/>
          <w:sz w:val="21"/>
          <w:szCs w:val="21"/>
        </w:rPr>
        <w:t>MedRxiv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(jako artykuł nierecenzowany), </w:t>
      </w:r>
      <w:hyperlink r:id="rId9" w:history="1">
        <w:r>
          <w:rPr>
            <w:rStyle w:val="Hipercze"/>
            <w:rFonts w:ascii="Verdana" w:hAnsi="Verdana"/>
            <w:color w:val="00477F"/>
            <w:sz w:val="21"/>
            <w:szCs w:val="21"/>
          </w:rPr>
          <w:t>wykazały zmniejszenie częstości występowania zgonów oraz konieczności hospitalizacji chorych na COVID-19 leczonych kolchicyną w warunkach ambulatoryjnych</w:t>
        </w:r>
      </w:hyperlink>
      <w:r>
        <w:rPr>
          <w:rFonts w:ascii="Verdana" w:hAnsi="Verdana"/>
          <w:color w:val="333333"/>
          <w:sz w:val="21"/>
          <w:szCs w:val="21"/>
        </w:rPr>
        <w:t>.</w:t>
      </w:r>
      <w:r>
        <w:rPr>
          <w:rFonts w:ascii="Verdana" w:hAnsi="Verdana"/>
          <w:color w:val="333333"/>
          <w:sz w:val="16"/>
          <w:szCs w:val="16"/>
          <w:vertAlign w:val="superscript"/>
        </w:rPr>
        <w:t>6</w:t>
      </w:r>
      <w:r>
        <w:rPr>
          <w:rFonts w:ascii="Verdana" w:hAnsi="Verdana"/>
          <w:color w:val="333333"/>
          <w:sz w:val="21"/>
          <w:szCs w:val="21"/>
        </w:rPr>
        <w:t> Zarówno jednak autorzy omawianej publikacji, jak i komentujący te wstępne wyniki naukowcy z innych środków zwracali uwagę na ograniczenia badania, w tym na jego przedwczesne przerwanie po osiągnięciu 75% z planowanej liczebności grupy chorych. Skuteczność kolchicyny oceniano także u dorosłych hospitalizowanych z powodu COVID-19 w badaniu RECOVERY. W marcu 2020 roku na podstawie oświadczenia niezależnego komitetu monitorującego dane, działającego w ramach projektu RECOVERY, </w:t>
      </w:r>
      <w:hyperlink r:id="rId10" w:history="1">
        <w:r>
          <w:rPr>
            <w:rStyle w:val="Hipercze"/>
            <w:rFonts w:ascii="Verdana" w:hAnsi="Verdana"/>
            <w:b/>
            <w:bCs/>
            <w:color w:val="00477F"/>
            <w:sz w:val="21"/>
            <w:szCs w:val="21"/>
          </w:rPr>
          <w:t>zaprzestano dalszego naboru pacjentów do badania kolchicyny ze względu na brak korzystnych efektów leczenia w dotychczasowej analizie w grupie chorych leczonych w szpitalu</w:t>
        </w:r>
      </w:hyperlink>
      <w:r>
        <w:rPr>
          <w:rFonts w:ascii="Verdana" w:hAnsi="Verdana"/>
          <w:color w:val="333333"/>
          <w:sz w:val="21"/>
          <w:szCs w:val="21"/>
        </w:rPr>
        <w:t>.</w:t>
      </w:r>
      <w:r>
        <w:rPr>
          <w:rFonts w:ascii="Verdana" w:hAnsi="Verdana"/>
          <w:color w:val="333333"/>
          <w:sz w:val="16"/>
          <w:szCs w:val="16"/>
          <w:vertAlign w:val="superscript"/>
        </w:rPr>
        <w:t>7</w:t>
      </w:r>
    </w:p>
    <w:p w:rsidR="007039EC" w:rsidRDefault="007039EC" w:rsidP="007039EC">
      <w:pPr>
        <w:pStyle w:val="NormalnyWeb"/>
        <w:shd w:val="clear" w:color="auto" w:fill="FFFFFF"/>
        <w:rPr>
          <w:rFonts w:ascii="Verdana" w:hAnsi="Verdana"/>
          <w:color w:val="333333"/>
          <w:sz w:val="21"/>
          <w:szCs w:val="21"/>
        </w:rPr>
      </w:pPr>
      <w:proofErr w:type="spellStart"/>
      <w:r>
        <w:rPr>
          <w:rFonts w:ascii="Verdana" w:hAnsi="Verdana"/>
          <w:b/>
          <w:bCs/>
          <w:color w:val="333333"/>
          <w:sz w:val="21"/>
          <w:szCs w:val="21"/>
        </w:rPr>
        <w:t>Iwermektyna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 to znany od ponad 40 lat lek o właściwościach przeciwpasożytniczych, niedostępny w Polsce w postaci doustnej. W badaniach in vitro wykazano, że </w:t>
      </w:r>
      <w:proofErr w:type="spellStart"/>
      <w:r>
        <w:rPr>
          <w:rFonts w:ascii="Verdana" w:hAnsi="Verdana"/>
          <w:color w:val="333333"/>
          <w:sz w:val="21"/>
          <w:szCs w:val="21"/>
        </w:rPr>
        <w:t>iwermektyna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hamuje replikację wielu wirusów, w tym SARS-CoV-2. W ostatnich miesiącach opublikowano wyniki kilkunastu małych RCT dotyczących </w:t>
      </w:r>
      <w:r>
        <w:rPr>
          <w:rFonts w:ascii="Verdana" w:hAnsi="Verdana"/>
          <w:color w:val="333333"/>
          <w:sz w:val="21"/>
          <w:szCs w:val="21"/>
        </w:rPr>
        <w:lastRenderedPageBreak/>
        <w:t xml:space="preserve">skuteczności i bezpieczeństwa </w:t>
      </w:r>
      <w:proofErr w:type="spellStart"/>
      <w:r>
        <w:rPr>
          <w:rFonts w:ascii="Verdana" w:hAnsi="Verdana"/>
          <w:color w:val="333333"/>
          <w:sz w:val="21"/>
          <w:szCs w:val="21"/>
        </w:rPr>
        <w:t>iwermektyny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u chorych na COVID-19, przeprowadzonych, m.in. w Egipcie, Bangladeszu, Iraku i Nigerii. W lutym 2021 roku NIH wycofały ze swoich wytycznych stanowisko, zgodnie z którym nie zalecano do tej pory stosowania </w:t>
      </w:r>
      <w:proofErr w:type="spellStart"/>
      <w:r>
        <w:rPr>
          <w:rFonts w:ascii="Verdana" w:hAnsi="Verdana"/>
          <w:color w:val="333333"/>
          <w:sz w:val="21"/>
          <w:szCs w:val="21"/>
        </w:rPr>
        <w:t>iwermektyny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w zakażeniach SARS-CoV-2 u ludzi.</w:t>
      </w:r>
      <w:r>
        <w:rPr>
          <w:rFonts w:ascii="Verdana" w:hAnsi="Verdana"/>
          <w:color w:val="333333"/>
          <w:sz w:val="16"/>
          <w:szCs w:val="16"/>
          <w:vertAlign w:val="superscript"/>
        </w:rPr>
        <w:t>1</w:t>
      </w:r>
      <w:r>
        <w:rPr>
          <w:rFonts w:ascii="Verdana" w:hAnsi="Verdana"/>
          <w:color w:val="333333"/>
          <w:sz w:val="21"/>
          <w:szCs w:val="21"/>
        </w:rPr>
        <w:t> Obecnie </w:t>
      </w:r>
      <w:hyperlink r:id="rId11" w:history="1">
        <w:r>
          <w:rPr>
            <w:rStyle w:val="Hipercze"/>
            <w:rFonts w:ascii="Verdana" w:hAnsi="Verdana"/>
            <w:b/>
            <w:bCs/>
            <w:color w:val="00477F"/>
            <w:sz w:val="21"/>
            <w:szCs w:val="21"/>
          </w:rPr>
          <w:t xml:space="preserve">NIH stwierdza, że nie ma wystarczających danych, na których podstawie można by zalecić stosowanie albo niestosowanie </w:t>
        </w:r>
        <w:proofErr w:type="spellStart"/>
        <w:r>
          <w:rPr>
            <w:rStyle w:val="Hipercze"/>
            <w:rFonts w:ascii="Verdana" w:hAnsi="Verdana"/>
            <w:b/>
            <w:bCs/>
            <w:color w:val="00477F"/>
            <w:sz w:val="21"/>
            <w:szCs w:val="21"/>
          </w:rPr>
          <w:t>iwermektyny</w:t>
        </w:r>
        <w:proofErr w:type="spellEnd"/>
        <w:r>
          <w:rPr>
            <w:rStyle w:val="Hipercze"/>
            <w:rFonts w:ascii="Verdana" w:hAnsi="Verdana"/>
            <w:b/>
            <w:bCs/>
            <w:color w:val="00477F"/>
            <w:sz w:val="21"/>
            <w:szCs w:val="21"/>
          </w:rPr>
          <w:t xml:space="preserve"> u chorych na COVID-19</w:t>
        </w:r>
      </w:hyperlink>
      <w:r>
        <w:rPr>
          <w:rFonts w:ascii="Verdana" w:hAnsi="Verdana"/>
          <w:color w:val="333333"/>
          <w:sz w:val="21"/>
          <w:szCs w:val="21"/>
        </w:rPr>
        <w:t xml:space="preserve">. NIH podkreśla konieczność uzyskania danych z odpowiednio zaprojektowanych i właściwie przeprowadzonych badań klinicznych, które pozwoliłyby sformułować jednoznaczne zalecenie. W lutym 2021 roku </w:t>
      </w:r>
      <w:proofErr w:type="spellStart"/>
      <w:r>
        <w:rPr>
          <w:rFonts w:ascii="Verdana" w:hAnsi="Verdana"/>
          <w:color w:val="333333"/>
          <w:sz w:val="21"/>
          <w:szCs w:val="21"/>
        </w:rPr>
        <w:t>AOTMiT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opublikowała metaanalizę wyników dotychczas przeprowadzonych RCT (5 badań, do których zakwalifikowano łącznie 699 pacjentów), świadczącą o tym, że stosowanie </w:t>
      </w:r>
      <w:proofErr w:type="spellStart"/>
      <w:r>
        <w:rPr>
          <w:rFonts w:ascii="Verdana" w:hAnsi="Verdana"/>
          <w:color w:val="333333"/>
          <w:sz w:val="21"/>
          <w:szCs w:val="21"/>
        </w:rPr>
        <w:t>iwermektyny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wiąże się z istotną statystycznie redukcją ryzyka zgonu; według opinii autorów do tego wniosku należy jednak podchodzić z ostrożnością ze względu na zróżnicowanie kliniczne i metodyczne badań włączonych do analizy.</w:t>
      </w:r>
      <w:r>
        <w:rPr>
          <w:rFonts w:ascii="Verdana" w:hAnsi="Verdana"/>
          <w:color w:val="333333"/>
          <w:sz w:val="16"/>
          <w:szCs w:val="16"/>
          <w:vertAlign w:val="superscript"/>
        </w:rPr>
        <w:t>8</w:t>
      </w:r>
      <w:r>
        <w:rPr>
          <w:rFonts w:ascii="Verdana" w:hAnsi="Verdana"/>
          <w:color w:val="333333"/>
          <w:sz w:val="21"/>
          <w:szCs w:val="21"/>
        </w:rPr>
        <w:t> Ostatecznie po przeprowadzonej analizie dostępnych danych </w:t>
      </w:r>
      <w:proofErr w:type="spellStart"/>
      <w:r>
        <w:rPr>
          <w:rFonts w:ascii="Verdana" w:hAnsi="Verdana"/>
          <w:b/>
          <w:bCs/>
          <w:color w:val="333333"/>
          <w:sz w:val="21"/>
          <w:szCs w:val="21"/>
        </w:rPr>
        <w:fldChar w:fldCharType="begin"/>
      </w:r>
      <w:r>
        <w:rPr>
          <w:rFonts w:ascii="Verdana" w:hAnsi="Verdana"/>
          <w:b/>
          <w:bCs/>
          <w:color w:val="333333"/>
          <w:sz w:val="21"/>
          <w:szCs w:val="21"/>
        </w:rPr>
        <w:instrText xml:space="preserve"> HYPERLINK "https://www.mp.pl/covid19/leczenie/259431,agencja-oceny-technologii-medycznych-i-taryfikacji-aktualizuje-zalecenia-dotyczace-farmakoterapii-w-covid-19-iwermektyna" </w:instrText>
      </w:r>
      <w:r>
        <w:rPr>
          <w:rFonts w:ascii="Verdana" w:hAnsi="Verdana"/>
          <w:b/>
          <w:bCs/>
          <w:color w:val="333333"/>
          <w:sz w:val="21"/>
          <w:szCs w:val="21"/>
        </w:rPr>
        <w:fldChar w:fldCharType="separate"/>
      </w:r>
      <w:r>
        <w:rPr>
          <w:rStyle w:val="Hipercze"/>
          <w:rFonts w:ascii="Verdana" w:hAnsi="Verdana"/>
          <w:b/>
          <w:bCs/>
          <w:color w:val="00477F"/>
          <w:sz w:val="21"/>
          <w:szCs w:val="21"/>
        </w:rPr>
        <w:t>AOTMiT</w:t>
      </w:r>
      <w:proofErr w:type="spellEnd"/>
      <w:r>
        <w:rPr>
          <w:rStyle w:val="Hipercze"/>
          <w:rFonts w:ascii="Verdana" w:hAnsi="Verdana"/>
          <w:b/>
          <w:bCs/>
          <w:color w:val="00477F"/>
          <w:sz w:val="21"/>
          <w:szCs w:val="21"/>
        </w:rPr>
        <w:t xml:space="preserve"> nie zaleciła rutynowego stosowania </w:t>
      </w:r>
      <w:proofErr w:type="spellStart"/>
      <w:r>
        <w:rPr>
          <w:rStyle w:val="Hipercze"/>
          <w:rFonts w:ascii="Verdana" w:hAnsi="Verdana"/>
          <w:b/>
          <w:bCs/>
          <w:color w:val="00477F"/>
          <w:sz w:val="21"/>
          <w:szCs w:val="21"/>
        </w:rPr>
        <w:t>iwermektyny</w:t>
      </w:r>
      <w:proofErr w:type="spellEnd"/>
      <w:r>
        <w:rPr>
          <w:rStyle w:val="Hipercze"/>
          <w:rFonts w:ascii="Verdana" w:hAnsi="Verdana"/>
          <w:b/>
          <w:bCs/>
          <w:color w:val="00477F"/>
          <w:sz w:val="21"/>
          <w:szCs w:val="21"/>
        </w:rPr>
        <w:t xml:space="preserve"> w leczeniu COVID-19</w:t>
      </w:r>
      <w:r>
        <w:rPr>
          <w:rFonts w:ascii="Verdana" w:hAnsi="Verdana"/>
          <w:b/>
          <w:bCs/>
          <w:color w:val="333333"/>
          <w:sz w:val="21"/>
          <w:szCs w:val="21"/>
        </w:rPr>
        <w:fldChar w:fldCharType="end"/>
      </w:r>
      <w:r>
        <w:rPr>
          <w:rFonts w:ascii="Verdana" w:hAnsi="Verdana"/>
          <w:color w:val="333333"/>
          <w:sz w:val="21"/>
          <w:szCs w:val="21"/>
        </w:rPr>
        <w:t xml:space="preserve">. W aktualnej wersji wytycznych farmakoterapii COVID-19 </w:t>
      </w:r>
      <w:proofErr w:type="spellStart"/>
      <w:r>
        <w:rPr>
          <w:rFonts w:ascii="Verdana" w:hAnsi="Verdana"/>
          <w:color w:val="333333"/>
          <w:sz w:val="21"/>
          <w:szCs w:val="21"/>
        </w:rPr>
        <w:t>AOTMiT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zaleca, aby ten lek stosować u chorych z COVID-19 wyłącznie w ramach badań klinicznych.</w:t>
      </w:r>
      <w:r>
        <w:rPr>
          <w:rFonts w:ascii="Verdana" w:hAnsi="Verdana"/>
          <w:color w:val="333333"/>
          <w:sz w:val="16"/>
          <w:szCs w:val="16"/>
          <w:vertAlign w:val="superscript"/>
        </w:rPr>
        <w:t>5</w:t>
      </w:r>
      <w:r>
        <w:rPr>
          <w:rFonts w:ascii="Verdana" w:hAnsi="Verdana"/>
          <w:color w:val="333333"/>
          <w:sz w:val="21"/>
          <w:szCs w:val="21"/>
        </w:rPr>
        <w:t xml:space="preserve"> Podobne stanowisko zajęła w marcu </w:t>
      </w:r>
      <w:proofErr w:type="spellStart"/>
      <w:r>
        <w:rPr>
          <w:rFonts w:ascii="Verdana" w:hAnsi="Verdana"/>
          <w:color w:val="333333"/>
          <w:sz w:val="21"/>
          <w:szCs w:val="21"/>
        </w:rPr>
        <w:t>European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Medicines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Agency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(EMA), nie znajdując podstaw do zalecania </w:t>
      </w:r>
      <w:proofErr w:type="spellStart"/>
      <w:r>
        <w:rPr>
          <w:rFonts w:ascii="Verdana" w:hAnsi="Verdana"/>
          <w:color w:val="333333"/>
          <w:sz w:val="21"/>
          <w:szCs w:val="21"/>
        </w:rPr>
        <w:t>iwermektyny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w profilaktyce lub leczeniu COVID-19 poza badaniami klinicznymi.</w:t>
      </w:r>
      <w:r>
        <w:rPr>
          <w:rFonts w:ascii="Verdana" w:hAnsi="Verdana"/>
          <w:color w:val="333333"/>
          <w:sz w:val="16"/>
          <w:szCs w:val="16"/>
          <w:vertAlign w:val="superscript"/>
        </w:rPr>
        <w:t>9</w:t>
      </w:r>
    </w:p>
    <w:p w:rsidR="007039EC" w:rsidRDefault="007039EC" w:rsidP="007039EC">
      <w:pPr>
        <w:pStyle w:val="NormalnyWeb"/>
        <w:shd w:val="clear" w:color="auto" w:fill="FFFFFF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Obecnie w badaniu RECOVERY u dorosłych analizuje się przydatność kliniczną przeciwciał monoklonalnych (</w:t>
      </w:r>
      <w:proofErr w:type="spellStart"/>
      <w:r>
        <w:rPr>
          <w:rFonts w:ascii="Verdana" w:hAnsi="Verdana"/>
          <w:color w:val="333333"/>
          <w:sz w:val="21"/>
          <w:szCs w:val="21"/>
        </w:rPr>
        <w:fldChar w:fldCharType="begin"/>
      </w:r>
      <w:r>
        <w:rPr>
          <w:rFonts w:ascii="Verdana" w:hAnsi="Verdana"/>
          <w:color w:val="333333"/>
          <w:sz w:val="21"/>
          <w:szCs w:val="21"/>
        </w:rPr>
        <w:instrText xml:space="preserve"> HYPERLINK "https://www.mp.pl/covid19/leczenie/263702,jakie-znaczenie-maja-przeciwciala-monoklonalne-w-leczeniu-covid-19" </w:instrText>
      </w:r>
      <w:r>
        <w:rPr>
          <w:rFonts w:ascii="Verdana" w:hAnsi="Verdana"/>
          <w:color w:val="333333"/>
          <w:sz w:val="21"/>
          <w:szCs w:val="21"/>
        </w:rPr>
        <w:fldChar w:fldCharType="separate"/>
      </w:r>
      <w:r>
        <w:rPr>
          <w:rStyle w:val="Hipercze"/>
          <w:rFonts w:ascii="Verdana" w:hAnsi="Verdana"/>
          <w:color w:val="00477F"/>
          <w:sz w:val="21"/>
          <w:szCs w:val="21"/>
        </w:rPr>
        <w:t>casiriwimab</w:t>
      </w:r>
      <w:proofErr w:type="spellEnd"/>
      <w:r>
        <w:rPr>
          <w:rStyle w:val="Hipercze"/>
          <w:rFonts w:ascii="Verdana" w:hAnsi="Verdana"/>
          <w:color w:val="00477F"/>
          <w:sz w:val="21"/>
          <w:szCs w:val="21"/>
        </w:rPr>
        <w:t xml:space="preserve"> z </w:t>
      </w:r>
      <w:proofErr w:type="spellStart"/>
      <w:r>
        <w:rPr>
          <w:rStyle w:val="Hipercze"/>
          <w:rFonts w:ascii="Verdana" w:hAnsi="Verdana"/>
          <w:color w:val="00477F"/>
          <w:sz w:val="21"/>
          <w:szCs w:val="21"/>
        </w:rPr>
        <w:t>imdewimabem</w:t>
      </w:r>
      <w:proofErr w:type="spellEnd"/>
      <w:r>
        <w:rPr>
          <w:rFonts w:ascii="Verdana" w:hAnsi="Verdana"/>
          <w:color w:val="333333"/>
          <w:sz w:val="21"/>
          <w:szCs w:val="21"/>
        </w:rPr>
        <w:fldChar w:fldCharType="end"/>
      </w:r>
      <w:r>
        <w:rPr>
          <w:rFonts w:ascii="Verdana" w:hAnsi="Verdana"/>
          <w:color w:val="333333"/>
          <w:sz w:val="21"/>
          <w:szCs w:val="21"/>
        </w:rPr>
        <w:t xml:space="preserve"> ) oraz </w:t>
      </w:r>
      <w:proofErr w:type="spellStart"/>
      <w:r>
        <w:rPr>
          <w:rFonts w:ascii="Verdana" w:hAnsi="Verdana"/>
          <w:color w:val="333333"/>
          <w:sz w:val="21"/>
          <w:szCs w:val="21"/>
        </w:rPr>
        <w:t>fumaranu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dimetylu (lek aktywujący ścieżkę transkrypcyjną czynnika jądrowego Nrf2 zarejestrowany w Unii Europejskiej do stosowania w stwardnieniu rozsianym, wykorzystywany także w leczeniu łuszczycy).</w:t>
      </w:r>
    </w:p>
    <w:p w:rsidR="007039EC" w:rsidRDefault="007039EC" w:rsidP="007039EC">
      <w:pPr>
        <w:pStyle w:val="Nagwek4"/>
        <w:shd w:val="clear" w:color="auto" w:fill="FFFFFF"/>
        <w:spacing w:before="0" w:after="15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Piśmiennictwo:</w:t>
      </w:r>
    </w:p>
    <w:p w:rsidR="007039EC" w:rsidRPr="007039EC" w:rsidRDefault="007039EC" w:rsidP="00703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1.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National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Health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Institutes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: COVID-19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treatment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guidelines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. https://covid19treatmentguidelines.nih.gov/ (dostęp: 25.03.2021)</w:t>
      </w:r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2.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Horby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P.W.,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Pessoa-Amorim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G.,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Peto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L. i 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wsp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.: RECOVERY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Collaborative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Group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: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Tocilizumab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in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patients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admitted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to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hospital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with COVID-19 (RECOVERY):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preliminary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results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of a 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randomised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,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controlled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, open-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label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, platform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trial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medRxiv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, 2021; doi: https://doi.org/10.1101/2021.02.11.21 249 258</w:t>
      </w:r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3. Rubin E.J.,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Longo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D.L., Baden L.R.: Interleukin-6 receptor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antagonists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in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critically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ill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patients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with Covid-19. N.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Engl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. J. Med., 2021; doi: 10.1056/NEJMoa2 100 433</w:t>
      </w:r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4.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Flisiak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R., Parczewski M.,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Horban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A. i 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wsp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.: Zalecenia diagnostyki i terapii zakażeń SARS-CoV-2 Polskiego Towarzystwa Epidemiologów i Lekarzy Chorób Zakaźnych z dnia 13 października 2020 roku. Aneks # 2 do rekomendacji z 31 marca 2020 roku. Med.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Prakt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., 2020; 11: 51–58</w:t>
      </w:r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>5. Agencja Oceny Technologii Medycznych i Taryfikacji: Farmakoterapia COVID-19 – Aktualizacja. Wersja 2.2. 23.03.2021. https://www.aotm.gov.pl/media/2021/03/ Farmakoterapia-COVID-19-Aktualizacja-wersja-2.2-23-marca-2021-r.pdf (dostęp: 25.03.2021)</w:t>
      </w:r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6.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Tardif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J.C.,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Bouabdallaoui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N.,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L’Allier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P.L.: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Efficacy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of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colchicine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in non-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hospitalized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patients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with COVID-19.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medRxiv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, 2021; doi: https://doi.org/10.1101/2021.01.26.21 250 494</w:t>
      </w:r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7. RECOVERY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trial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closes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recruitment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to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colchicine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treatment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for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patients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hospitalised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with COVID-19. 05.03.2021. https://www.recoverytrial.net/news/recovery-trial-closes-recruitment-to-colchicine-treatment-for-patients-hospitalised-with-covid-19 (dostęp: 25.03.2021)</w:t>
      </w:r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8. Agencja Oceny Technologii Medycznych i Taryfikacji: Przegląd doniesień naukowych dla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iwermektyny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w leczeniu oraz profilaktyce COVID-19 Opracowanie analityczne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AOTMiT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 </w:t>
      </w:r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lastRenderedPageBreak/>
        <w:t>Wersja 1.0. 04.02.2021. https://www.aotm.gov.pl/media/2021/02/AOTMiT_COVID_19_ Przeglad_Iwermektyna_2021.02.04_v1.0.pdf (dostęp: 25.03.2021)</w:t>
      </w:r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9. EMA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advises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against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use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of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ivermectin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for the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prevention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or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treatment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of COVID-19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outside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randomised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clinical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trials</w:t>
      </w:r>
      <w:proofErr w:type="spellEnd"/>
      <w:r w:rsidRPr="007039E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. 22.03.2021. https://www.ema.europa.eu/en/news/ema-advises-against-use-ivermectin-prevention-treatment-covid-19-outside-randomised-clinical-trials (dostęp: 25.03.2021)</w:t>
      </w:r>
    </w:p>
    <w:p w:rsidR="00490894" w:rsidRDefault="00490894"/>
    <w:sectPr w:rsidR="0049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A3D8A"/>
    <w:multiLevelType w:val="multilevel"/>
    <w:tmpl w:val="47F8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03"/>
    <w:rsid w:val="00490894"/>
    <w:rsid w:val="007039EC"/>
    <w:rsid w:val="00714903"/>
    <w:rsid w:val="00F2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47F90-2560-41D1-8E2B-AF23BC36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14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14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14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39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9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149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149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1490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1490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39E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4898">
                  <w:marLeft w:val="0"/>
                  <w:marRight w:val="0"/>
                  <w:marTop w:val="300"/>
                  <w:marBottom w:val="300"/>
                  <w:divBdr>
                    <w:top w:val="single" w:sz="12" w:space="0" w:color="DDDDDD"/>
                    <w:left w:val="single" w:sz="12" w:space="0" w:color="DDDDDD"/>
                    <w:bottom w:val="single" w:sz="12" w:space="0" w:color="DDDDDD"/>
                    <w:right w:val="single" w:sz="12" w:space="0" w:color="DDDDDD"/>
                  </w:divBdr>
                </w:div>
                <w:div w:id="7061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.pl/covid19/leczenie/256862,aktualnie-zalecane-leczenie-przeciwwirusowe-i-immunomodulujace-u-chorych-na-covid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p.pl/covid19/leczenie/263055,agencja-oceny-technologii-medycznych-i-taryfikacji-aktualizuje-zalecenia-dotyczace-farmakoterapii-w-covid-19-tocilizuma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.pl/covid19/leczenie/256862,aktualnie-zalecane-leczenie-przeciwwirusowe-i-immunomodulujace-u-chorych-na-covid-19" TargetMode="External"/><Relationship Id="rId11" Type="http://schemas.openxmlformats.org/officeDocument/2006/relationships/hyperlink" Target="https://www.mp.pl/covid19/leczenie/260739,iwermektyna-co-wiadomo-na-temat-jej-skutecznosci-w-covid-19" TargetMode="External"/><Relationship Id="rId5" Type="http://schemas.openxmlformats.org/officeDocument/2006/relationships/hyperlink" Target="https://www.mp.pl/covid19/" TargetMode="External"/><Relationship Id="rId10" Type="http://schemas.openxmlformats.org/officeDocument/2006/relationships/hyperlink" Target="https://www.mp.pl/covid19/leczenie/261976,zakonczenie-rekrutacji-pacjentow-hospitalizowanych-z-powodu-covid-19-do-badania-recovery-w-celu-badania-skutecznosci-kolchicy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p.pl/covid19/leczenie/260169,kolchicyna-w-leczeniu-covid-19-co-wynika-z-badania-colcoro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2993</Words>
  <Characters>17963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3</cp:revision>
  <dcterms:created xsi:type="dcterms:W3CDTF">2021-04-12T19:15:00Z</dcterms:created>
  <dcterms:modified xsi:type="dcterms:W3CDTF">2021-04-12T19:18:00Z</dcterms:modified>
</cp:coreProperties>
</file>