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79" w:rsidRPr="00790C79" w:rsidRDefault="00790C79" w:rsidP="00790C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90C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Covid-19 – cześć 1: epidemiologia i obraz kliniczny</w:t>
      </w:r>
    </w:p>
    <w:p w:rsidR="00790C79" w:rsidRPr="00790C79" w:rsidRDefault="00790C79" w:rsidP="0079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0" cy="3219450"/>
            <wp:effectExtent l="0" t="0" r="0" b="0"/>
            <wp:docPr id="2" name="Obraz 2" descr="wirus_panthermedia_4415765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us_panthermedia_4415765_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9" w:rsidRPr="00790C79" w:rsidRDefault="00790C79" w:rsidP="0079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Pantherstock</w:t>
      </w:r>
      <w:proofErr w:type="spellEnd"/>
    </w:p>
    <w:p w:rsidR="00790C79" w:rsidRPr="00790C79" w:rsidRDefault="00790C79" w:rsidP="00790C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0C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0C79" w:rsidRPr="00790C79" w:rsidRDefault="00790C79" w:rsidP="00790C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0C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90C79" w:rsidRPr="00790C79" w:rsidRDefault="00790C79" w:rsidP="00790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przeglądowego artykułu jest podsumowanie danych dotyczących epidemiologii oraz obrazu klinicznego u chorych z Covid-19.</w:t>
      </w:r>
    </w:p>
    <w:p w:rsidR="00790C79" w:rsidRPr="00790C79" w:rsidRDefault="00790C79" w:rsidP="0079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90C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Wprowadzenie</w:t>
      </w:r>
    </w:p>
    <w:p w:rsidR="00790C79" w:rsidRPr="00790C79" w:rsidRDefault="00790C79" w:rsidP="00790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grudniu 2019 roku w Wuhan, w Prowincji Hubei, w Chinach odnotowano pierwsze przypadki </w:t>
      </w:r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zapalenia płuc o nieznanej przyczynie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końca stycznia 2020 roku  zakażonych w Chinach zostało 9720 chorych, z czego zmarło 213. Ponadto odnotowano 106 przypadków w 19 krajach. Kilka dni później zidentyfikowany został, przez niezależne laboratoria, patogen odpowiedzialny za te zakażania – był nim </w:t>
      </w:r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nowy </w:t>
      </w:r>
      <w:proofErr w:type="spellStart"/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Światowa Organizacja Zdrowia (World 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Organization – WHO) nazwała go </w:t>
      </w:r>
      <w:proofErr w:type="spellStart"/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ciężkich ostrych zespołów oddechowych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severe</w:t>
      </w:r>
      <w:proofErr w:type="spellEnd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acute</w:t>
      </w:r>
      <w:proofErr w:type="spellEnd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respiratory </w:t>
      </w:r>
      <w:proofErr w:type="spellStart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syndrome</w:t>
      </w:r>
      <w:proofErr w:type="spellEnd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coronavirus</w:t>
      </w:r>
      <w:proofErr w:type="spellEnd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SARS-CoV-2), a wywoływaną przez niego jednostkę chorobową – </w:t>
      </w:r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chorobą </w:t>
      </w:r>
      <w:proofErr w:type="spellStart"/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koronawirusową</w:t>
      </w:r>
      <w:proofErr w:type="spellEnd"/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coronavirus</w:t>
      </w:r>
      <w:proofErr w:type="spellEnd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disease</w:t>
      </w:r>
      <w:proofErr w:type="spellEnd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2019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-–COVID-19).</w:t>
      </w:r>
    </w:p>
    <w:p w:rsidR="00790C79" w:rsidRPr="00790C79" w:rsidRDefault="00790C79" w:rsidP="0079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90C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Patogen i epidemiologia</w:t>
      </w:r>
    </w:p>
    <w:p w:rsidR="00790C79" w:rsidRPr="00790C79" w:rsidRDefault="00790C79" w:rsidP="00790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 jedną nić kodu RNA. Wywołują </w:t>
      </w:r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różne schorzenia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 układy: oddechowy, pokarmowy oraz nerwowy. Ciężkość ich przebiegu jest różna u ludzi oraz zwierząt.  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ludzkie (</w:t>
      </w:r>
      <w:proofErr w:type="spellStart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human</w:t>
      </w:r>
      <w:proofErr w:type="spellEnd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790C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coronavirus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wywołują rocznie niewielki odsetek infekcji oddechowych. Przed ostatnie dwie dekady dwa nowe 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: SARS (SARS-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MERS (MERS-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CoV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wywołały poważne choroby u ludzi. Pierwszym zakażonych zostało 8000 ludzi, z czego zmarło 800 (wskaźnik śmiertelności wynosił 10%), a drugim 857 chorych, z czego zmarło blisko 300 (wskaźnik śmiertelności 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wynosił 35%). Jak dotąd SARS-CoV-2 jest siedemnastym z kolei 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spowodował infekcje u ludzi. Zgodnie z obecną wiedzą może przenosić się z człowieka na człowieka. Ma to miejsce drogą kropelkową podczas bliskiego kontaktu z zakażonym. Nie jest do końca wiadomo, czy również może przenosić się drogą doustną czy poprzez spojówki, chociaż potwierdzono jego obecność w łzach. Średni okres inkubacji wynosi </w:t>
      </w:r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dni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(zakres od 1 do 14 dni). U 95% chorych objawy wystąpią w ciągu 12 dni od kontaktu z zakażoną osobą. Powyższe dane sugerują konieczność 14-dniowego okresu obserwacji medycznej lub kwarantanny dla osób mających kontakt z chorymi. Pojawiły się doniesienia o okresach inkubacji wynoszących 19 dni, co może w znacznym stopniu utrudnić opanowanie epidemii.</w:t>
      </w:r>
    </w:p>
    <w:p w:rsidR="00790C79" w:rsidRPr="00790C79" w:rsidRDefault="00790C79" w:rsidP="00790C7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54675" cy="4241006"/>
            <wp:effectExtent l="0" t="0" r="3175" b="7620"/>
            <wp:docPr id="1" name="Obraz 1" descr="http://static2.medforum.pl/cache/logos/czlowiek_pluca_wirusy_bakteriepanthermedia_4415787-W780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medforum.pl/cache/logos/czlowiek_pluca_wirusy_bakteriepanthermedia_4415787-W780H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21" cy="42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9" w:rsidRPr="00790C79" w:rsidRDefault="00790C79" w:rsidP="00790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</w:t>
      </w:r>
      <w:proofErr w:type="spellStart"/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panthermedia</w:t>
      </w:r>
      <w:proofErr w:type="spellEnd"/>
    </w:p>
    <w:p w:rsidR="00790C79" w:rsidRPr="00790C79" w:rsidRDefault="00790C79" w:rsidP="0079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90C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Obraz kliniczny</w:t>
      </w:r>
    </w:p>
    <w:p w:rsidR="00790C79" w:rsidRDefault="00790C79" w:rsidP="00790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chorych była w wieku </w:t>
      </w:r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30 do 79 lat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średnia wynosiła 49-59 lat. Odnotowano kilka przypadków zakażeń u dzieci poniżej 15 lat. Większość chorych stanowili </w:t>
      </w:r>
      <w:r w:rsidRPr="00790C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mężczyźni</w:t>
      </w:r>
      <w:r w:rsidRPr="00790C79">
        <w:rPr>
          <w:rFonts w:ascii="Times New Roman" w:eastAsia="Times New Roman" w:hAnsi="Times New Roman" w:cs="Times New Roman"/>
          <w:sz w:val="24"/>
          <w:szCs w:val="24"/>
          <w:lang w:eastAsia="pl-PL"/>
        </w:rPr>
        <w:t>. Blisko połowa chorych miała co najmniej jedno schorzenie współistniejące, takie jak nadciśnienie tętnicze, cukrzyca oraz choroba niedokrwienna serca. Śmiertelność u chorych ze schorzeniami współistniejącymi była wyższa niż u pozostałych. Przebieg kliniczny COVID-19 może być zróżnicowany od bezobjawowych infekcji po niewydolności układu oddechowego.</w:t>
      </w:r>
    </w:p>
    <w:p w:rsidR="007D1603" w:rsidRDefault="007D1603" w:rsidP="007D1603">
      <w:pPr>
        <w:pStyle w:val="NormalnyWeb"/>
      </w:pPr>
      <w:r>
        <w:lastRenderedPageBreak/>
        <w:t xml:space="preserve">Do </w:t>
      </w:r>
      <w:r>
        <w:rPr>
          <w:rStyle w:val="Pogrubienie"/>
        </w:rPr>
        <w:t>głównych objawów</w:t>
      </w:r>
      <w:r>
        <w:t xml:space="preserve"> COVID-19 zalicza się gorączkę, zmęczenie, suchy kaszel, bóle mięśni oraz duszność. Rzadko stwierdzanymi objawami podczas jego przebiegu są bóle głowy, biegunka oraz krwioplucie.</w:t>
      </w:r>
    </w:p>
    <w:p w:rsidR="007D1603" w:rsidRDefault="007D1603" w:rsidP="007D1603">
      <w:pPr>
        <w:pStyle w:val="NormalnyWeb"/>
      </w:pPr>
      <w:r>
        <w:t xml:space="preserve">W zależności od nasilenia objawów wyróżniamy postacie łagodne, umiarkowane, ciężkie oraz krytyczne. W </w:t>
      </w:r>
      <w:r>
        <w:rPr>
          <w:rStyle w:val="Pogrubienie"/>
        </w:rPr>
        <w:t>postaciach łagodnych</w:t>
      </w:r>
      <w:r>
        <w:t xml:space="preserve"> nie występuje zapalenia płuc, natomiast w </w:t>
      </w:r>
      <w:r>
        <w:rPr>
          <w:rStyle w:val="Pogrubienie"/>
        </w:rPr>
        <w:t>postaciach umiarkowanych</w:t>
      </w:r>
      <w:r>
        <w:t xml:space="preserve"> są stwierdzane, ale nie wymagają hospitalizacji. W </w:t>
      </w:r>
      <w:r>
        <w:rPr>
          <w:rStyle w:val="Pogrubienie"/>
        </w:rPr>
        <w:t>postaciach ciężkich</w:t>
      </w:r>
      <w:r>
        <w:t xml:space="preserve"> stwierdza się duszność, przyspieszenie częstości oddechów ponad 30/min, a nasycenie tlenem krwi spada poniżej 93%. W </w:t>
      </w:r>
      <w:r>
        <w:rPr>
          <w:rStyle w:val="Pogrubienie"/>
        </w:rPr>
        <w:t>postaciach krytycznych</w:t>
      </w:r>
      <w:r>
        <w:t xml:space="preserve"> dochodzi do wstrząsu septycznego oraz niewydolności oddechowej lub wielonarządowej. W przypadkach o postępujących przebiegach do wystąpienia duszności dochodzi średnio 8 dni od zakażenia, a mechaniczna wentylacja jest konieczna średnio po 10 dniach.</w:t>
      </w:r>
    </w:p>
    <w:p w:rsidR="00214DB5" w:rsidRDefault="00214DB5" w:rsidP="00214DB5">
      <w:pPr>
        <w:pStyle w:val="Nagwek2"/>
      </w:pPr>
      <w:r>
        <w:t>Badania laboratoryjne</w:t>
      </w:r>
    </w:p>
    <w:p w:rsidR="00214DB5" w:rsidRDefault="00214DB5" w:rsidP="00214DB5">
      <w:pPr>
        <w:pStyle w:val="NormalnyWeb"/>
      </w:pPr>
      <w:r>
        <w:t xml:space="preserve">W badaniach laboratoryjnych często stwierdza się leukopenię i limfopenię. Ponadto podwyższone są poziomy dehydrogenazy mleczanowej oraz kreatyniny. U połowy chorych występują </w:t>
      </w:r>
      <w:r>
        <w:rPr>
          <w:rStyle w:val="Pogrubienie"/>
        </w:rPr>
        <w:t xml:space="preserve">zaburzenia czynności wątroby z podwyższeniem </w:t>
      </w:r>
      <w:proofErr w:type="spellStart"/>
      <w:r>
        <w:rPr>
          <w:rStyle w:val="Pogrubienie"/>
        </w:rPr>
        <w:t>aminotransferaz</w:t>
      </w:r>
      <w:proofErr w:type="spellEnd"/>
      <w:r>
        <w:t>. U co trzeciego chorego podwyższony jest poziom d-dimerów.</w:t>
      </w:r>
    </w:p>
    <w:p w:rsidR="00214DB5" w:rsidRDefault="00214DB5" w:rsidP="00214DB5">
      <w:pPr>
        <w:pStyle w:val="Nagwek2"/>
      </w:pPr>
      <w:r>
        <w:t>Badania obrazowe</w:t>
      </w:r>
    </w:p>
    <w:p w:rsidR="00214DB5" w:rsidRDefault="00214DB5" w:rsidP="00214DB5">
      <w:pPr>
        <w:pStyle w:val="NormalnyWeb"/>
      </w:pPr>
      <w:r>
        <w:t>Objawy radiologiczne u chorych zakażonych SARS-CoV-2 są zróżnicowane i szybko postępują. U dwóch trzecich dochodzi do zajęcia co dwóch płatów płuc, a u prawie połowy zmiany stwierdza się we wszystkich pięciu płatach. Najczęściej stwierdza się niejednolite zmętnienia przypominające matową szybę (</w:t>
      </w:r>
      <w:proofErr w:type="spellStart"/>
      <w:r>
        <w:rPr>
          <w:rStyle w:val="Uwydatnienie"/>
        </w:rPr>
        <w:t>ground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glass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opacities</w:t>
      </w:r>
      <w:proofErr w:type="spellEnd"/>
      <w:r>
        <w:t>  – GGO).</w:t>
      </w:r>
    </w:p>
    <w:p w:rsidR="00214DB5" w:rsidRDefault="00214DB5" w:rsidP="00214DB5">
      <w:pPr>
        <w:pStyle w:val="Nagwek2"/>
      </w:pPr>
      <w:r>
        <w:t>Diagnostyka</w:t>
      </w:r>
    </w:p>
    <w:p w:rsidR="00214DB5" w:rsidRDefault="00214DB5" w:rsidP="00214DB5">
      <w:pPr>
        <w:pStyle w:val="NormalnyWeb"/>
      </w:pPr>
      <w:r>
        <w:t xml:space="preserve">Chociaż kontakt z osobą zakażoną, objawy kliniczne oraz zmiany radiologiczne sugerujące zapalenie płuc implikują </w:t>
      </w:r>
      <w:r>
        <w:rPr>
          <w:rStyle w:val="Pogrubienie"/>
        </w:rPr>
        <w:t>rozpoznanie Covid-19</w:t>
      </w:r>
      <w:r>
        <w:t xml:space="preserve">, to do jego potwierdzenia konieczne jest wykonanie </w:t>
      </w:r>
      <w:r>
        <w:rPr>
          <w:rStyle w:val="Pogrubienie"/>
        </w:rPr>
        <w:t>badań laboratoryjnych</w:t>
      </w:r>
      <w:r>
        <w:t xml:space="preserve">. Badania metodą reakcji łańcuchowej polimerazy z odwrotną </w:t>
      </w:r>
      <w:proofErr w:type="spellStart"/>
      <w:r>
        <w:t>transkryptazą</w:t>
      </w:r>
      <w:proofErr w:type="spellEnd"/>
      <w:r>
        <w:t xml:space="preserve"> (</w:t>
      </w:r>
      <w:proofErr w:type="spellStart"/>
      <w:r>
        <w:rPr>
          <w:rStyle w:val="Uwydatnienie"/>
        </w:rPr>
        <w:t>reverse-transcriptase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polymerase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chain</w:t>
      </w:r>
      <w:proofErr w:type="spellEnd"/>
      <w:r>
        <w:rPr>
          <w:rStyle w:val="Uwydatnienie"/>
        </w:rPr>
        <w:t xml:space="preserve"> re </w:t>
      </w:r>
      <w:proofErr w:type="spellStart"/>
      <w:r>
        <w:rPr>
          <w:rStyle w:val="Uwydatnienie"/>
        </w:rPr>
        <w:t>action</w:t>
      </w:r>
      <w:proofErr w:type="spellEnd"/>
      <w:r>
        <w:t xml:space="preserve"> – RT-PCR) stosowane są rutynowo celem potwierdzenia obecności materiału genetycznego wirusa. Istotne znaczenie ma miejsce pobrania próbki do badania. Zawartość materiału wirusa jest większa w </w:t>
      </w:r>
      <w:r>
        <w:rPr>
          <w:rStyle w:val="Pogrubienie"/>
        </w:rPr>
        <w:t>dolnych odcinkach układu oddechowego</w:t>
      </w:r>
      <w:r>
        <w:t>. We wczesnym stadium choroby około 60% wyników badań RT-PCR wymazów z gardła jest pozytywnych. Sugeruje to, że uzyskiwane wyniki powinny być interpretowane z ostrożnością.</w:t>
      </w:r>
    </w:p>
    <w:p w:rsidR="00214DB5" w:rsidRDefault="00214DB5" w:rsidP="00214DB5">
      <w:r>
        <w:rPr>
          <w:noProof/>
          <w:lang w:eastAsia="pl-PL"/>
        </w:rPr>
        <w:lastRenderedPageBreak/>
        <w:drawing>
          <wp:inline distT="0" distB="0" distL="0" distR="0">
            <wp:extent cx="4448175" cy="3336131"/>
            <wp:effectExtent l="0" t="0" r="0" b="0"/>
            <wp:docPr id="3" name="Obraz 3" descr="http://static2.medforum.pl/cache/logos/wirus_bakteria_choroba_zakazenie_zarazenie_badanie_panthermedia_b12838097-W780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2.medforum.pl/cache/logos/wirus_bakteria_choroba_zakazenie_zarazenie_badanie_panthermedia_b12838097-W780H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573" cy="33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B5" w:rsidRDefault="00214DB5" w:rsidP="00214DB5">
      <w:pPr>
        <w:pStyle w:val="NormalnyWeb"/>
        <w:jc w:val="center"/>
      </w:pPr>
      <w:r>
        <w:t xml:space="preserve">fot. </w:t>
      </w:r>
      <w:proofErr w:type="spellStart"/>
      <w:r>
        <w:t>panthermedia</w:t>
      </w:r>
      <w:proofErr w:type="spellEnd"/>
    </w:p>
    <w:p w:rsidR="00214DB5" w:rsidRDefault="00214DB5" w:rsidP="00214DB5">
      <w:pPr>
        <w:pStyle w:val="NormalnyWeb"/>
      </w:pPr>
      <w:r>
        <w:t>W jednym z badań u 1014 chorych z podejrzeniem zakażenia SARS-CoV-2 porównano wartość diagnostyczną oraz zgodność wyników badań RT-PCR, a także badań tomografii komputerowej klatki piersiowej. Czułość badań CT klatki piersiowej, biorąc pod uwagę pozytywne wyniki RT-PCR, wynosiła 97%. Powyższe wyniki zdaniem autorów tego badania wskazują, że badania CT klatki piersiowej są czułe w rozpoznawaniu zakażenia wirusem SARS-CoV-2.</w:t>
      </w:r>
    </w:p>
    <w:p w:rsidR="008B6ADB" w:rsidRDefault="008B6ADB" w:rsidP="008B6ADB">
      <w:pPr>
        <w:pStyle w:val="Nagwek2"/>
      </w:pPr>
      <w:r>
        <w:t>Leczenie</w:t>
      </w:r>
    </w:p>
    <w:p w:rsidR="008B6ADB" w:rsidRDefault="008B6ADB" w:rsidP="008B6ADB">
      <w:pPr>
        <w:pStyle w:val="NormalnyWeb"/>
      </w:pPr>
      <w:r>
        <w:t xml:space="preserve">Dotychczas </w:t>
      </w:r>
      <w:r>
        <w:rPr>
          <w:rStyle w:val="Pogrubienie"/>
        </w:rPr>
        <w:t>nie opracowano skutecznego leczenia przyczynowego</w:t>
      </w:r>
      <w:r>
        <w:t xml:space="preserve">. Stosowane są głownie metody leczenia objawowego. W celu zmniejszenia występowania wirusa oraz prawdopodobieństwa pojawienia się powikłań oddechowych stosowane są próby stosowania różnych </w:t>
      </w:r>
      <w:r>
        <w:rPr>
          <w:rStyle w:val="Pogrubienie"/>
        </w:rPr>
        <w:t>leków przeciwwirusowych</w:t>
      </w:r>
      <w:r>
        <w:t xml:space="preserve">. W Stanach Zjednoczonych pojawiły się doniesienia o korzystnym działaniu </w:t>
      </w:r>
      <w:proofErr w:type="spellStart"/>
      <w:r>
        <w:rPr>
          <w:rStyle w:val="Pogrubienie"/>
        </w:rPr>
        <w:t>remdesiwiru</w:t>
      </w:r>
      <w:proofErr w:type="spellEnd"/>
      <w:r>
        <w:t xml:space="preserve"> (</w:t>
      </w:r>
      <w:proofErr w:type="spellStart"/>
      <w:r>
        <w:t>remdesivir</w:t>
      </w:r>
      <w:proofErr w:type="spellEnd"/>
      <w:r>
        <w:t xml:space="preserve">). Jego skuteczność musi zostać potwierdzona w randomizowanych badaniach kontrolowanych. Stosowanie </w:t>
      </w:r>
      <w:r>
        <w:rPr>
          <w:rStyle w:val="Pogrubienie"/>
        </w:rPr>
        <w:t>antybiotyków</w:t>
      </w:r>
      <w:r>
        <w:t xml:space="preserve"> (zgodnie z wynikami posiewów) jest pomocne w przypadku wtórnej infekcji bakteryjnej. Stosowanie </w:t>
      </w:r>
      <w:r>
        <w:rPr>
          <w:rStyle w:val="Pogrubienie"/>
        </w:rPr>
        <w:t>kortykosterydów</w:t>
      </w:r>
      <w:r>
        <w:t xml:space="preserve"> u chorych zakażonych wirusami SARS oraz MERS nie poprawiało przeżycia. Z uwagi na powyższe nie powinny być one stosowane rutynowo u chorych z Covid-19. U chorych z hipoksją pomimo stosowania tlenoterapii powinno być rozważone zastosowanie nieinwazyjnej lub mechanicznej </w:t>
      </w:r>
      <w:r>
        <w:rPr>
          <w:rStyle w:val="Pogrubienie"/>
        </w:rPr>
        <w:t>wentylacji</w:t>
      </w:r>
      <w:r>
        <w:t>. W ostateczności stosowane jest pozaustrojowe utlenowanie krwi (</w:t>
      </w:r>
      <w:proofErr w:type="spellStart"/>
      <w:r>
        <w:rPr>
          <w:rStyle w:val="Uwydatnienie"/>
        </w:rPr>
        <w:t>extracorporeal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membrane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oxygenation</w:t>
      </w:r>
      <w:proofErr w:type="spellEnd"/>
      <w:r>
        <w:t xml:space="preserve"> – ECMO)</w:t>
      </w:r>
    </w:p>
    <w:p w:rsidR="008B6ADB" w:rsidRDefault="008B6ADB" w:rsidP="008B6ADB">
      <w:pPr>
        <w:pStyle w:val="Nagwek2"/>
      </w:pPr>
      <w:r>
        <w:t>Rokowanie</w:t>
      </w:r>
    </w:p>
    <w:p w:rsidR="008B6ADB" w:rsidRDefault="008B6ADB" w:rsidP="008B6ADB">
      <w:pPr>
        <w:pStyle w:val="NormalnyWeb"/>
      </w:pPr>
      <w:r>
        <w:t xml:space="preserve">Nadal zwiększa się ilość zakażonych oraz zgonów z powodu Covid-19. Obecnie śmiertelność z powodu SARS-CoV-2 wynosi około </w:t>
      </w:r>
      <w:r>
        <w:rPr>
          <w:rStyle w:val="Pogrubienie"/>
        </w:rPr>
        <w:t>3,41%</w:t>
      </w:r>
      <w:r>
        <w:t xml:space="preserve"> i jest niższa w porównaniu z SARS (10%) czy MERS (35%). Biorąc pod uwagę szybkie rozprzestrzenianie się wirusa, jest za wcześnie na </w:t>
      </w:r>
      <w:r>
        <w:lastRenderedPageBreak/>
        <w:t>ostateczne oszacowanie śmiertelności. Szacuje się, że około 20-25% chorych z SARS-CoV-2 wymaga pobytu na oddziale intensywnej terapii. Obecne dane sugerują, że starszy wiek oraz współistniejące schorzenia mogą być czynnikami ryzyka niekorzystnego rokowania</w:t>
      </w:r>
    </w:p>
    <w:p w:rsidR="00870111" w:rsidRDefault="00870111" w:rsidP="002624B2">
      <w:pPr>
        <w:pStyle w:val="Nagwek3"/>
      </w:pPr>
    </w:p>
    <w:p w:rsidR="00870111" w:rsidRPr="00870111" w:rsidRDefault="00870111" w:rsidP="0087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r w:rsidRPr="008701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Leczenie osoczem może być obiecującą metodą leczenia chorych ciężkimi postaciami Covid-19.</w:t>
      </w:r>
    </w:p>
    <w:bookmarkEnd w:id="0"/>
    <w:p w:rsidR="00870111" w:rsidRPr="00870111" w:rsidRDefault="00870111" w:rsidP="0087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COVID-19 stanowi duże zagrożenie dla zdrowia na świecie. Dotychczas nie jest dostępna żadna specyficzna metoda leczenia. Celem pracy opublikowanej na łamach czasopisma </w:t>
      </w:r>
      <w:proofErr w:type="spellStart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Proceedings</w:t>
      </w:r>
      <w:proofErr w:type="spellEnd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Academy</w:t>
      </w:r>
      <w:proofErr w:type="spellEnd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United </w:t>
      </w:r>
      <w:proofErr w:type="spellStart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States</w:t>
      </w:r>
      <w:proofErr w:type="spellEnd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America</w:t>
      </w:r>
      <w:proofErr w:type="spellEnd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(PNAS) była ocena skuteczności podania osocza uzyskanego od ozdrowieńców (</w:t>
      </w:r>
      <w:proofErr w:type="spellStart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convalescent</w:t>
      </w:r>
      <w:proofErr w:type="spellEnd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plasma</w:t>
      </w:r>
      <w:proofErr w:type="spellEnd"/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CP) chory z ciężkim przebiegiem Covid-19. U 10 chorych zastosowano przetoczono jedną dawkę (200 ml) osocza. Leczenie było dobrze tolerowane. W ciągu 7 dni doprowadziło do ustąpienia wiremii. Obraz kliniczny chorych uległ istotnej poprawie w ciągu 3 dni. W badaniach radiologicznych uzyskano różnego stopnia poprawę w ciągu 7 dni.</w:t>
      </w:r>
    </w:p>
    <w:p w:rsidR="00870111" w:rsidRPr="00870111" w:rsidRDefault="00870111" w:rsidP="0087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11">
        <w:rPr>
          <w:rFonts w:ascii="Times New Roman" w:eastAsia="Times New Roman" w:hAnsi="Times New Roman" w:cs="Times New Roman"/>
          <w:sz w:val="24"/>
          <w:szCs w:val="24"/>
          <w:lang w:eastAsia="pl-PL"/>
        </w:rPr>
        <w:t>Reasumując zdaniem autorów pracy uzyskane wyniki wskazują, że leczenie osoczem może być obiecującą metodą leczenia chorych ciężkimi postaciami Covid-19. Skuteczność tej metody leczenia musi zostać potwierdzona w randomizowanych badaniach klinicznych.</w:t>
      </w:r>
    </w:p>
    <w:p w:rsidR="00870111" w:rsidRDefault="00870111" w:rsidP="002624B2">
      <w:pPr>
        <w:pStyle w:val="Nagwek3"/>
      </w:pPr>
    </w:p>
    <w:p w:rsidR="00870111" w:rsidRDefault="00870111" w:rsidP="002624B2">
      <w:pPr>
        <w:pStyle w:val="Nagwek3"/>
      </w:pPr>
    </w:p>
    <w:p w:rsidR="002624B2" w:rsidRDefault="002624B2" w:rsidP="002624B2">
      <w:pPr>
        <w:pStyle w:val="Nagwek3"/>
      </w:pPr>
      <w:r>
        <w:t>Autor/autorzy opracowania:</w:t>
      </w:r>
    </w:p>
    <w:p w:rsidR="002624B2" w:rsidRDefault="002624B2" w:rsidP="002624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 n.med. Marcin Kopka</w:t>
      </w:r>
    </w:p>
    <w:p w:rsidR="008B6ADB" w:rsidRDefault="008B6ADB" w:rsidP="00214DB5">
      <w:pPr>
        <w:pStyle w:val="NormalnyWeb"/>
      </w:pPr>
    </w:p>
    <w:p w:rsidR="007D1603" w:rsidRPr="00790C79" w:rsidRDefault="007D1603" w:rsidP="00790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C2" w:rsidRDefault="00870111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503E"/>
    <w:multiLevelType w:val="multilevel"/>
    <w:tmpl w:val="51A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9"/>
    <w:rsid w:val="001350B9"/>
    <w:rsid w:val="00214DB5"/>
    <w:rsid w:val="002624B2"/>
    <w:rsid w:val="00322D54"/>
    <w:rsid w:val="003269E0"/>
    <w:rsid w:val="00790C79"/>
    <w:rsid w:val="007D1603"/>
    <w:rsid w:val="00870111"/>
    <w:rsid w:val="008B6ADB"/>
    <w:rsid w:val="009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0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0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0C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0C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0C7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0C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0C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790C79"/>
  </w:style>
  <w:style w:type="paragraph" w:styleId="NormalnyWeb">
    <w:name w:val="Normal (Web)"/>
    <w:basedOn w:val="Normalny"/>
    <w:uiPriority w:val="99"/>
    <w:semiHidden/>
    <w:unhideWhenUsed/>
    <w:rsid w:val="007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79"/>
    <w:rPr>
      <w:b/>
      <w:bCs/>
    </w:rPr>
  </w:style>
  <w:style w:type="character" w:styleId="Uwydatnienie">
    <w:name w:val="Emphasis"/>
    <w:basedOn w:val="Domylnaczcionkaakapitu"/>
    <w:uiPriority w:val="20"/>
    <w:qFormat/>
    <w:rsid w:val="00790C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7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0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0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0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0C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0C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0C7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0C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0C7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790C79"/>
  </w:style>
  <w:style w:type="paragraph" w:styleId="NormalnyWeb">
    <w:name w:val="Normal (Web)"/>
    <w:basedOn w:val="Normalny"/>
    <w:uiPriority w:val="99"/>
    <w:semiHidden/>
    <w:unhideWhenUsed/>
    <w:rsid w:val="007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79"/>
    <w:rPr>
      <w:b/>
      <w:bCs/>
    </w:rPr>
  </w:style>
  <w:style w:type="character" w:styleId="Uwydatnienie">
    <w:name w:val="Emphasis"/>
    <w:basedOn w:val="Domylnaczcionkaakapitu"/>
    <w:uiPriority w:val="20"/>
    <w:qFormat/>
    <w:rsid w:val="00790C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7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0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1170</Words>
  <Characters>7024</Characters>
  <Application>Microsoft Office Word</Application>
  <DocSecurity>0</DocSecurity>
  <Lines>58</Lines>
  <Paragraphs>16</Paragraphs>
  <ScaleCrop>false</ScaleCrop>
  <Company>Sil-art Rycho444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2020-04-15T20:52:00Z</dcterms:created>
  <dcterms:modified xsi:type="dcterms:W3CDTF">2020-04-15T20:59:00Z</dcterms:modified>
</cp:coreProperties>
</file>